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60" w:lineRule="exact"/>
        <w:jc w:val="center"/>
        <w:rPr>
          <w:rFonts w:ascii="方正大标宋简体" w:eastAsia="方正大标宋简体" w:cs="Times New Roman"/>
          <w:color w:val="FF0000"/>
          <w:spacing w:val="-28"/>
          <w:w w:val="50"/>
          <w:sz w:val="190"/>
          <w:szCs w:val="190"/>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-535940</wp:posOffset>
                </wp:positionV>
                <wp:extent cx="1828800" cy="495300"/>
                <wp:effectExtent l="4445" t="4445" r="10795" b="18415"/>
                <wp:wrapNone/>
                <wp:docPr id="5" name="矩形 3"/>
                <wp:cNvGraphicFramePr/>
                <a:graphic xmlns:a="http://schemas.openxmlformats.org/drawingml/2006/main">
                  <a:graphicData uri="http://schemas.microsoft.com/office/word/2010/wordprocessingShape">
                    <wps:wsp>
                      <wps:cNvSpPr/>
                      <wps:spPr>
                        <a:xfrm>
                          <a:off x="0" y="0"/>
                          <a:ext cx="18288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hAnsi="黑体" w:eastAsia="黑体" w:cs="Times New Roman"/>
                                <w:sz w:val="32"/>
                                <w:szCs w:val="32"/>
                              </w:rPr>
                            </w:pPr>
                            <w:r>
                              <w:rPr>
                                <w:rFonts w:ascii="黑体" w:hAnsi="黑体" w:eastAsia="黑体" w:cs="黑体"/>
                                <w:sz w:val="32"/>
                                <w:szCs w:val="32"/>
                              </w:rPr>
                              <w:t>TZDR-2018-001007</w:t>
                            </w:r>
                          </w:p>
                        </w:txbxContent>
                      </wps:txbx>
                      <wps:bodyPr upright="true"/>
                    </wps:wsp>
                  </a:graphicData>
                </a:graphic>
              </wp:anchor>
            </w:drawing>
          </mc:Choice>
          <mc:Fallback>
            <w:pict>
              <v:rect id="矩形 3" o:spid="_x0000_s1026" o:spt="1" style="position:absolute;left:0pt;margin-left:-27pt;margin-top:-42.2pt;height:39pt;width:144pt;z-index:251659264;mso-width-relative:page;mso-height-relative:page;" fillcolor="#FFFFFF" filled="t" stroked="t" coordsize="21600,21600" o:gfxdata="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9WzcL1wAAAAoBAAAPAAAAAAAAAAEAIAAAADgAAABkcnMvZG93bnJldi54&#10;bWxQSwECFAAUAAAACACHTuJAgiww+OUBAADeAwAADgAAAAAAAAABACAAAAA8AQAAZHJzL2Uyb0Rv&#10;Yy54bWxQSwUGAAAAAAYABgBZAQAAkwUAAAAA&#10;">
                <v:fill on="t" focussize="0,0"/>
                <v:stroke color="#FFFFFF" joinstyle="miter"/>
                <v:imagedata o:title=""/>
                <o:lock v:ext="edit" aspectratio="f"/>
                <v:textbox>
                  <w:txbxContent>
                    <w:p>
                      <w:pPr>
                        <w:rPr>
                          <w:rFonts w:ascii="黑体" w:hAnsi="黑体" w:eastAsia="黑体" w:cs="Times New Roman"/>
                          <w:sz w:val="32"/>
                          <w:szCs w:val="32"/>
                        </w:rPr>
                      </w:pPr>
                      <w:r>
                        <w:rPr>
                          <w:rFonts w:ascii="黑体" w:hAnsi="黑体" w:eastAsia="黑体" w:cs="黑体"/>
                          <w:sz w:val="32"/>
                          <w:szCs w:val="32"/>
                        </w:rPr>
                        <w:t>TZDR-2018-001007</w:t>
                      </w:r>
                    </w:p>
                  </w:txbxContent>
                </v:textbox>
              </v:rect>
            </w:pict>
          </mc:Fallback>
        </mc:AlternateContent>
      </w:r>
      <w:r>
        <w:rPr>
          <w:rFonts w:hint="eastAsia" w:ascii="方正大标宋简体" w:eastAsia="方正大标宋简体" w:cs="方正大标宋简体"/>
          <w:color w:val="FF0000"/>
          <w:spacing w:val="-28"/>
          <w:w w:val="50"/>
          <w:sz w:val="190"/>
          <w:szCs w:val="190"/>
        </w:rPr>
        <w:t>滕州市人民政府文件</w:t>
      </w:r>
    </w:p>
    <w:p>
      <w:pPr>
        <w:widowControl/>
        <w:spacing w:line="560" w:lineRule="exact"/>
        <w:jc w:val="center"/>
        <w:rPr>
          <w:rFonts w:ascii="仿宋_GB2312" w:hAnsi="??" w:eastAsia="仿宋_GB2312" w:cs="Times New Roman"/>
          <w:color w:val="000000"/>
          <w:kern w:val="0"/>
          <w:sz w:val="32"/>
          <w:szCs w:val="32"/>
        </w:rPr>
      </w:pPr>
    </w:p>
    <w:p>
      <w:pPr>
        <w:widowControl/>
        <w:spacing w:line="560" w:lineRule="exact"/>
        <w:jc w:val="center"/>
        <w:rPr>
          <w:rFonts w:ascii="仿宋_GB2312" w:hAnsi="??" w:eastAsia="仿宋_GB2312" w:cs="Times New Roman"/>
          <w:color w:val="000000"/>
          <w:kern w:val="0"/>
          <w:sz w:val="32"/>
          <w:szCs w:val="32"/>
        </w:rPr>
      </w:pPr>
    </w:p>
    <w:p>
      <w:pPr>
        <w:widowControl/>
        <w:spacing w:line="560" w:lineRule="exact"/>
        <w:jc w:val="center"/>
        <w:rPr>
          <w:rFonts w:ascii="仿宋_GB2312" w:hAnsi="??" w:eastAsia="仿宋_GB2312" w:cs="Times New Roman"/>
          <w:color w:val="000000"/>
          <w:kern w:val="0"/>
          <w:sz w:val="32"/>
          <w:szCs w:val="32"/>
        </w:rPr>
      </w:pPr>
      <w:r>
        <w:rPr>
          <w:rFonts w:hint="eastAsia" w:ascii="仿宋_GB2312" w:hAnsi="??" w:eastAsia="仿宋_GB2312" w:cs="仿宋_GB2312"/>
          <w:color w:val="000000"/>
          <w:kern w:val="0"/>
          <w:sz w:val="32"/>
          <w:szCs w:val="32"/>
        </w:rPr>
        <w:t>滕政发〔</w:t>
      </w:r>
      <w:r>
        <w:rPr>
          <w:rFonts w:ascii="仿宋_GB2312" w:hAnsi="??" w:eastAsia="仿宋_GB2312" w:cs="仿宋_GB2312"/>
          <w:color w:val="000000"/>
          <w:kern w:val="0"/>
          <w:sz w:val="32"/>
          <w:szCs w:val="32"/>
        </w:rPr>
        <w:t>2018</w:t>
      </w:r>
      <w:r>
        <w:rPr>
          <w:rFonts w:hint="eastAsia" w:ascii="仿宋_GB2312" w:hAnsi="??" w:eastAsia="仿宋_GB2312" w:cs="仿宋_GB2312"/>
          <w:color w:val="000000"/>
          <w:kern w:val="0"/>
          <w:sz w:val="32"/>
          <w:szCs w:val="32"/>
        </w:rPr>
        <w:t>〕</w:t>
      </w:r>
      <w:r>
        <w:rPr>
          <w:rFonts w:ascii="仿宋_GB2312" w:hAnsi="??" w:eastAsia="仿宋_GB2312" w:cs="仿宋_GB2312"/>
          <w:color w:val="000000"/>
          <w:kern w:val="0"/>
          <w:sz w:val="32"/>
          <w:szCs w:val="32"/>
        </w:rPr>
        <w:t>68</w:t>
      </w:r>
      <w:r>
        <w:rPr>
          <w:rFonts w:hint="eastAsia" w:ascii="仿宋_GB2312" w:hAnsi="??" w:eastAsia="仿宋_GB2312" w:cs="仿宋_GB2312"/>
          <w:color w:val="000000"/>
          <w:kern w:val="0"/>
          <w:sz w:val="32"/>
          <w:szCs w:val="32"/>
        </w:rPr>
        <w:t>号</w:t>
      </w:r>
    </w:p>
    <w:p>
      <w:pPr>
        <w:widowControl/>
        <w:spacing w:line="560" w:lineRule="exact"/>
        <w:jc w:val="center"/>
        <w:rPr>
          <w:rFonts w:ascii="方正小标宋简体" w:hAnsi="方正小标宋简体" w:eastAsia="方正小标宋简体" w:cs="Times New Roman"/>
          <w:color w:val="000000"/>
          <w:sz w:val="32"/>
          <w:szCs w:val="32"/>
        </w:rPr>
      </w:pPr>
      <w: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128905</wp:posOffset>
                </wp:positionV>
                <wp:extent cx="5579745" cy="0"/>
                <wp:effectExtent l="0" t="10795" r="13335" b="12065"/>
                <wp:wrapNone/>
                <wp:docPr id="3" name="直线 4"/>
                <wp:cNvGraphicFramePr/>
                <a:graphic xmlns:a="http://schemas.openxmlformats.org/drawingml/2006/main">
                  <a:graphicData uri="http://schemas.microsoft.com/office/word/2010/wordprocessingShape">
                    <wps:wsp>
                      <wps:cNvCnPr/>
                      <wps:spPr>
                        <a:xfrm>
                          <a:off x="0" y="0"/>
                          <a:ext cx="557974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7.05pt;margin-top:10.15pt;height:0pt;width:439.35pt;z-index:251658240;mso-width-relative:page;mso-height-relative:page;" filled="f" stroked="t" coordsize="21600,21600" o:gfxdata="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hpp4zY&#10;AAAACQEAAA8AAAAAAAAAAQAgAAAAOAAAAGRycy9kb3ducmV2LnhtbFBLAQIUABQAAAAIAIdO4kCY&#10;FUk40QEAAJEDAAAOAAAAAAAAAAEAIAAAAD0BAABkcnMvZTJvRG9jLnhtbFBLBQYAAAAABgAGAFkB&#10;AACABQAAAAA=&#10;">
                <v:fill on="f" focussize="0,0"/>
                <v:stroke weight="1.75pt" color="#FF0000" joinstyle="round"/>
                <v:imagedata o:title=""/>
                <o:lock v:ext="edit" aspectratio="f"/>
              </v:line>
            </w:pict>
          </mc:Fallback>
        </mc:AlternateContent>
      </w:r>
    </w:p>
    <w:p>
      <w:pPr>
        <w:widowControl/>
        <w:spacing w:line="560" w:lineRule="exact"/>
        <w:jc w:val="center"/>
        <w:rPr>
          <w:rFonts w:ascii="方正小标宋简体" w:hAnsi="方正小标宋简体" w:eastAsia="方正小标宋简体" w:cs="Times New Roman"/>
          <w:color w:val="000000"/>
          <w:sz w:val="32"/>
          <w:szCs w:val="32"/>
        </w:rPr>
      </w:pPr>
    </w:p>
    <w:p>
      <w:pPr>
        <w:widowControl/>
        <w:spacing w:line="54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sz w:val="44"/>
          <w:szCs w:val="44"/>
        </w:rPr>
        <w:t>滕州市人民政府</w:t>
      </w:r>
    </w:p>
    <w:p>
      <w:pPr>
        <w:spacing w:line="540" w:lineRule="exact"/>
        <w:jc w:val="center"/>
        <w:rPr>
          <w:rFonts w:ascii="仿宋_GB2312" w:hAnsi="仿宋_GB2312" w:eastAsia="仿宋_GB2312" w:cs="Times New Roman"/>
          <w:color w:val="000000"/>
          <w:kern w:val="0"/>
          <w:sz w:val="32"/>
          <w:szCs w:val="32"/>
        </w:rPr>
      </w:pPr>
      <w:r>
        <w:rPr>
          <w:rFonts w:hint="eastAsia" w:ascii="方正小标宋简体" w:hAnsi="方正小标宋简体" w:eastAsia="方正小标宋简体" w:cs="方正小标宋简体"/>
          <w:color w:val="000000"/>
          <w:kern w:val="0"/>
          <w:sz w:val="44"/>
          <w:szCs w:val="44"/>
        </w:rPr>
        <w:t>关于公布市政府规范性文件清理结果的决定</w:t>
      </w:r>
    </w:p>
    <w:p>
      <w:pPr>
        <w:spacing w:line="540" w:lineRule="exact"/>
        <w:jc w:val="center"/>
        <w:rPr>
          <w:rFonts w:ascii="楷体" w:hAnsi="楷体" w:eastAsia="楷体" w:cs="Times New Roman"/>
          <w:color w:val="000000"/>
          <w:kern w:val="0"/>
          <w:sz w:val="32"/>
          <w:szCs w:val="32"/>
        </w:rPr>
      </w:pPr>
    </w:p>
    <w:p>
      <w:pPr>
        <w:spacing w:line="540" w:lineRule="exac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各镇人民政府、街道办事处，滕州经济开发区管委会，市政府各部门，各企事业单位：</w:t>
      </w:r>
    </w:p>
    <w:p>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为深入贯彻落实中央、省和两级市法治政府建设实施纲要，进一步加强规范性文件的监督管理，维护社会主义法制统一，更好地服务全市经济社会发展，根据</w:t>
      </w:r>
      <w:r>
        <w:rPr>
          <w:rFonts w:hint="eastAsia" w:ascii="仿宋_GB2312" w:hAnsi="仿宋_GB2312" w:eastAsia="仿宋_GB2312" w:cs="仿宋_GB2312"/>
          <w:sz w:val="32"/>
          <w:szCs w:val="32"/>
        </w:rPr>
        <w:t>《国务院办公厅关于开展涉及产权保护的规章、规范性文件清理工作的通知》（国办发〔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《国务院办公厅关于开展生态环境保护的法规、规章、规范性文件清理工作的通知》（国办发〔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《山东省行政程序规定》（省政府令第</w:t>
      </w:r>
      <w:r>
        <w:rPr>
          <w:rFonts w:ascii="仿宋_GB2312" w:hAnsi="仿宋_GB2312" w:eastAsia="仿宋_GB2312" w:cs="仿宋_GB2312"/>
          <w:color w:val="000000"/>
          <w:kern w:val="0"/>
          <w:sz w:val="32"/>
          <w:szCs w:val="32"/>
        </w:rPr>
        <w:t>238</w:t>
      </w:r>
      <w:r>
        <w:rPr>
          <w:rFonts w:hint="eastAsia" w:ascii="仿宋_GB2312" w:hAnsi="仿宋_GB2312" w:eastAsia="仿宋_GB2312" w:cs="仿宋_GB2312"/>
          <w:color w:val="000000"/>
          <w:kern w:val="0"/>
          <w:sz w:val="32"/>
          <w:szCs w:val="32"/>
        </w:rPr>
        <w:t>号）和</w:t>
      </w:r>
      <w:r>
        <w:rPr>
          <w:rFonts w:hint="eastAsia" w:ascii="仿宋_GB2312" w:hAnsi="仿宋_GB2312" w:eastAsia="仿宋_GB2312" w:cs="仿宋_GB2312"/>
          <w:sz w:val="32"/>
          <w:szCs w:val="32"/>
        </w:rPr>
        <w:t>《山东省人民政府办公厅关于开展涉及产权保护的政府规章、规范性文件清理工作的通知》（鲁政办字〔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等文件要求，市政府组织对</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月之前发布的市政府规范性文件和政策性文件依法进行了全面清理。清理结果已经</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日第</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届</w:t>
      </w:r>
      <w:r>
        <w:rPr>
          <w:rFonts w:ascii="仿宋_GB2312" w:hAnsi="仿宋_GB2312" w:eastAsia="仿宋_GB2312" w:cs="仿宋_GB2312"/>
          <w:color w:val="000000"/>
          <w:kern w:val="0"/>
          <w:sz w:val="32"/>
          <w:szCs w:val="32"/>
        </w:rPr>
        <w:t>27</w:t>
      </w:r>
      <w:r>
        <w:rPr>
          <w:rFonts w:hint="eastAsia" w:ascii="仿宋_GB2312" w:hAnsi="仿宋_GB2312" w:eastAsia="仿宋_GB2312" w:cs="仿宋_GB2312"/>
          <w:color w:val="000000"/>
          <w:kern w:val="0"/>
          <w:sz w:val="32"/>
          <w:szCs w:val="32"/>
        </w:rPr>
        <w:t>次市政府常务会议审议通过，现公布如下：</w:t>
      </w:r>
    </w:p>
    <w:p>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color w:val="000000"/>
          <w:kern w:val="0"/>
          <w:sz w:val="32"/>
          <w:szCs w:val="32"/>
        </w:rPr>
        <w:t>《滕州市人民政府关于解决国有企业破产终结工作问题的意见》等</w:t>
      </w:r>
      <w:r>
        <w:rPr>
          <w:rFonts w:ascii="仿宋_GB2312" w:hAnsi="仿宋_GB2312" w:eastAsia="仿宋_GB2312" w:cs="仿宋_GB2312"/>
          <w:color w:val="000000"/>
          <w:kern w:val="0"/>
          <w:sz w:val="32"/>
          <w:szCs w:val="32"/>
        </w:rPr>
        <w:t>186</w:t>
      </w:r>
      <w:r>
        <w:rPr>
          <w:rFonts w:hint="eastAsia" w:ascii="仿宋_GB2312" w:hAnsi="仿宋_GB2312" w:eastAsia="仿宋_GB2312" w:cs="仿宋_GB2312"/>
          <w:color w:val="000000"/>
          <w:kern w:val="0"/>
          <w:sz w:val="32"/>
          <w:szCs w:val="32"/>
        </w:rPr>
        <w:t>件市政府规范性文件和政策性文件继续有效。</w:t>
      </w:r>
    </w:p>
    <w:p>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color w:val="000000"/>
          <w:kern w:val="0"/>
          <w:sz w:val="32"/>
          <w:szCs w:val="32"/>
        </w:rPr>
        <w:t>《滕州市人民政府关于印发</w:t>
      </w:r>
      <w:r>
        <w:rPr>
          <w:rFonts w:ascii="仿宋_GB2312" w:hAnsi="仿宋_GB2312" w:eastAsia="仿宋_GB2312" w:cs="仿宋_GB2312"/>
          <w:color w:val="000000"/>
          <w:kern w:val="0"/>
          <w:sz w:val="32"/>
          <w:szCs w:val="32"/>
        </w:rPr>
        <w:t>&lt;</w:t>
      </w:r>
      <w:r>
        <w:rPr>
          <w:rFonts w:hint="eastAsia" w:ascii="仿宋_GB2312" w:hAnsi="仿宋_GB2312" w:eastAsia="仿宋_GB2312" w:cs="仿宋_GB2312"/>
          <w:color w:val="000000"/>
          <w:kern w:val="0"/>
          <w:sz w:val="32"/>
          <w:szCs w:val="32"/>
        </w:rPr>
        <w:t>市国有资产经营性收入收缴管理意见</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的通知》等</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件市政府规范性文件和政策性文件需要修改。需要修改的市政府规范性文件和政策性文件，与法律、法规、规章和上级政策规定不一致的，执行法律、法规、规章和上级政策规定；其他内容继续有效，有效期至</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日。各部门要抓紧修改，于有效期前完成修改工作。逾期未完成修改的，原文件自动失效。</w:t>
      </w:r>
    </w:p>
    <w:p>
      <w:pPr>
        <w:pStyle w:val="5"/>
        <w:spacing w:beforeAutospacing="0" w:afterAutospacing="0" w:line="540" w:lineRule="exact"/>
        <w:ind w:firstLine="640"/>
        <w:jc w:val="both"/>
        <w:rPr>
          <w:rFonts w:ascii="仿宋_GB2312" w:hAnsi="仿宋_GB2312" w:eastAsia="仿宋_GB2312" w:cs="Times New Roman"/>
          <w:color w:val="000000"/>
          <w:sz w:val="32"/>
          <w:szCs w:val="32"/>
        </w:rPr>
      </w:pPr>
      <w:r>
        <w:rPr>
          <w:rFonts w:hint="eastAsia" w:ascii="仿宋_GB2312" w:hAnsi="仿宋_GB2312" w:eastAsia="仿宋_GB2312" w:cs="仿宋_GB2312"/>
          <w:b/>
          <w:bCs/>
          <w:color w:val="000000"/>
          <w:sz w:val="32"/>
          <w:szCs w:val="32"/>
        </w:rPr>
        <w:t>三、</w:t>
      </w:r>
      <w:r>
        <w:rPr>
          <w:rFonts w:hint="eastAsia" w:ascii="仿宋_GB2312" w:hAnsi="仿宋_GB2312" w:eastAsia="仿宋_GB2312" w:cs="仿宋_GB2312"/>
          <w:color w:val="000000"/>
          <w:sz w:val="32"/>
          <w:szCs w:val="32"/>
        </w:rPr>
        <w:t>《滕州市人民政府关于滕州市林果产业化工作意见》等</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件市政府规范性文件和政策性文件宣布废止和失效。废止和失效的文件自公布之日起停止执行，不再作为实施行政管理的依据。</w:t>
      </w:r>
    </w:p>
    <w:p>
      <w:pPr>
        <w:spacing w:line="540" w:lineRule="exact"/>
        <w:ind w:firstLine="640"/>
        <w:rPr>
          <w:rFonts w:ascii="仿宋_GB2312" w:hAnsi="仿宋_GB2312" w:eastAsia="仿宋_GB2312" w:cs="Times New Roman"/>
          <w:color w:val="000000"/>
          <w:kern w:val="0"/>
          <w:sz w:val="32"/>
          <w:szCs w:val="32"/>
        </w:rPr>
      </w:pPr>
    </w:p>
    <w:p>
      <w:pPr>
        <w:spacing w:line="540"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市政府规范性文件、政策性文件目录</w:t>
      </w:r>
    </w:p>
    <w:p>
      <w:pPr>
        <w:spacing w:line="54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p>
    <w:p>
      <w:pPr>
        <w:spacing w:line="540" w:lineRule="exact"/>
        <w:ind w:firstLine="640"/>
        <w:rPr>
          <w:rFonts w:ascii="仿宋_GB2312" w:hAnsi="仿宋_GB2312" w:eastAsia="仿宋_GB2312" w:cs="仿宋_GB2312"/>
          <w:color w:val="000000"/>
          <w:kern w:val="0"/>
          <w:sz w:val="32"/>
          <w:szCs w:val="32"/>
        </w:rPr>
      </w:pPr>
    </w:p>
    <w:p>
      <w:pPr>
        <w:spacing w:line="540" w:lineRule="exac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滕州市人民政府</w:t>
      </w:r>
    </w:p>
    <w:p>
      <w:pPr>
        <w:spacing w:line="540" w:lineRule="exac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                              2018</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w:t>
      </w:r>
    </w:p>
    <w:p>
      <w:pPr>
        <w:tabs>
          <w:tab w:val="center" w:pos="6777"/>
          <w:tab w:val="left" w:pos="11983"/>
        </w:tabs>
        <w:spacing w:line="560" w:lineRule="exact"/>
        <w:jc w:val="center"/>
        <w:rPr>
          <w:rFonts w:ascii="方正小标宋简体" w:hAnsi="方正小标宋简体" w:eastAsia="方正小标宋简体" w:cs="Times New Roman"/>
          <w:color w:val="000000"/>
          <w:sz w:val="44"/>
          <w:szCs w:val="44"/>
        </w:rPr>
        <w:sectPr>
          <w:footerReference r:id="rId3" w:type="default"/>
          <w:pgSz w:w="11906" w:h="16838"/>
          <w:pgMar w:top="1701" w:right="1701" w:bottom="1701" w:left="1701" w:header="851" w:footer="1304" w:gutter="0"/>
          <w:pgNumType w:fmt="numberInDash"/>
          <w:cols w:space="425" w:num="1"/>
          <w:docGrid w:type="lines" w:linePitch="312" w:charSpace="0"/>
        </w:sectPr>
      </w:pPr>
    </w:p>
    <w:p>
      <w:pPr>
        <w:tabs>
          <w:tab w:val="center" w:pos="6777"/>
          <w:tab w:val="left" w:pos="11983"/>
        </w:tabs>
        <w:spacing w:line="56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市政府</w:t>
      </w:r>
      <w:bookmarkStart w:id="0" w:name="_GoBack"/>
      <w:bookmarkEnd w:id="0"/>
      <w:r>
        <w:rPr>
          <w:rFonts w:hint="eastAsia" w:ascii="方正小标宋简体" w:hAnsi="方正小标宋简体" w:eastAsia="方正小标宋简体" w:cs="方正小标宋简体"/>
          <w:color w:val="000000"/>
          <w:sz w:val="44"/>
          <w:szCs w:val="44"/>
          <w:lang w:eastAsia="zh-CN"/>
        </w:rPr>
        <w:t>规范性文件</w:t>
      </w:r>
      <w:r>
        <w:rPr>
          <w:rFonts w:hint="eastAsia" w:ascii="方正小标宋简体" w:hAnsi="方正小标宋简体" w:eastAsia="方正小标宋简体" w:cs="方正小标宋简体"/>
          <w:color w:val="000000"/>
          <w:sz w:val="44"/>
          <w:szCs w:val="44"/>
        </w:rPr>
        <w:t>、政策性文件目录</w:t>
      </w:r>
    </w:p>
    <w:p>
      <w:pPr>
        <w:tabs>
          <w:tab w:val="left" w:pos="2533"/>
        </w:tabs>
        <w:spacing w:line="360" w:lineRule="exact"/>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 </w:t>
      </w:r>
    </w:p>
    <w:p>
      <w:pPr>
        <w:widowControl/>
        <w:spacing w:line="560" w:lineRule="exact"/>
        <w:ind w:firstLine="320" w:firstLineChars="100"/>
        <w:jc w:val="left"/>
        <w:rPr>
          <w:rFonts w:ascii="楷体_GB2312" w:hAnsi="楷体_GB2312" w:eastAsia="楷体_GB2312" w:cs="Times New Roman"/>
          <w:color w:val="000000"/>
          <w:sz w:val="32"/>
          <w:szCs w:val="32"/>
        </w:rPr>
      </w:pPr>
      <w:r>
        <w:rPr>
          <w:rFonts w:hint="eastAsia" w:ascii="黑体" w:hAnsi="黑体" w:eastAsia="黑体" w:cs="黑体"/>
          <w:color w:val="000000"/>
          <w:sz w:val="32"/>
          <w:szCs w:val="32"/>
        </w:rPr>
        <w:t>一、继续有效的规范性文件目录</w:t>
      </w:r>
    </w:p>
    <w:tbl>
      <w:tblPr>
        <w:tblStyle w:val="6"/>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92"/>
        <w:gridCol w:w="7273"/>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2"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3"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滕政发〔</w:t>
            </w:r>
            <w:r>
              <w:rPr>
                <w:rFonts w:ascii="仿宋_GB2312" w:hAnsi="仿宋_GB2312" w:eastAsia="仿宋_GB2312" w:cs="仿宋_GB2312"/>
                <w:color w:val="000000"/>
                <w:spacing w:val="-1"/>
                <w:sz w:val="24"/>
                <w:szCs w:val="24"/>
              </w:rPr>
              <w:t>2003</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35</w:t>
            </w:r>
            <w:r>
              <w:rPr>
                <w:rFonts w:hint="eastAsia" w:ascii="仿宋_GB2312" w:hAnsi="仿宋_GB2312" w:eastAsia="仿宋_GB2312" w:cs="仿宋_GB2312"/>
                <w:color w:val="000000"/>
                <w:spacing w:val="-1"/>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关于解决国有企业破产终结工作问题的意见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关于贯彻落实《山东省计划生育技术服务管理办法》的实施意见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2005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54</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关于实行政府投资项目代建制的意见（试行）</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2005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关于转发《枣庄市城市基础设施配套费（房地产综合开发费部分）征收管理办法》和《枣庄市城市基础设施配套费（小城镇部分）征收管理办法》的通知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333333"/>
                <w:sz w:val="24"/>
                <w:szCs w:val="24"/>
                <w:shd w:val="clear" w:color="auto" w:fill="FFFFFF"/>
              </w:rPr>
              <w:t>关于推进农村土地承包经营权流转的实施意见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关于加强政府非税收入征收管理的意见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关于进一步明确破产企业职工安置和社会保险有关问题的意见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关于印发《滕州市国有土地使用权出让收支管理办法》的通知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关于印发《滕州市除四害管理办法》的通知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关于印发《滕州市爱国卫生工作管理规定》的通知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滕政发〔</w:t>
            </w:r>
            <w:r>
              <w:rPr>
                <w:rFonts w:ascii="仿宋_GB2312" w:hAnsi="仿宋_GB2312" w:eastAsia="仿宋_GB2312" w:cs="仿宋_GB2312"/>
                <w:color w:val="000000"/>
                <w:spacing w:val="-1"/>
                <w:sz w:val="24"/>
                <w:szCs w:val="24"/>
              </w:rPr>
              <w:t>2010</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42</w:t>
            </w:r>
            <w:r>
              <w:rPr>
                <w:rFonts w:hint="eastAsia" w:ascii="仿宋_GB2312" w:hAnsi="仿宋_GB2312" w:eastAsia="仿宋_GB2312" w:cs="仿宋_GB2312"/>
                <w:color w:val="000000"/>
                <w:spacing w:val="-1"/>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滕州市推进资源型城市转型工作的实施意见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关于加快推进散装水泥发展的实施意见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关于完善城镇职工医疗保险制度有关问题的通知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84</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关于进一步加强企业安全生产工作的通知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关于进一步加快我市存量公有住房出售解决房改遗留问题的通知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5"/>
                <w:sz w:val="24"/>
                <w:szCs w:val="24"/>
              </w:rPr>
              <w:t>关于对全市农村一女双女独生子女伤亡病残家庭参加“新农合”给予补贴的通知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19</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关于加强林业有害生物防控工作的意见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关于印发《滕州市封山育林管理办法》的通知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51</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关于加快发展公共租赁住房的实施意见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52</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关于在新建商品住房开发项目中配建公共租赁住房的实施意见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107</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关于加快城市拆迁项目安置区建设的意见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129</w:t>
            </w:r>
            <w:r>
              <w:rPr>
                <w:rFonts w:hint="eastAsia" w:ascii="仿宋_GB2312" w:hAnsi="仿宋_GB2312" w:eastAsia="仿宋_GB2312" w:cs="仿宋_GB2312"/>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关于印发《滕州市房屋征收储备土地地上建筑物、附着物残值收入征收管理暂行办法》的通知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关于印发《滕州市房地产开发项目规划建设条件意见书制度》的通知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关于进一步加强财政收支预算管理的意见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关于进一步加强森林防火能力建设的实施意见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pacing w:val="-11"/>
                <w:sz w:val="24"/>
                <w:szCs w:val="24"/>
              </w:rPr>
              <w:t>关于贯彻落实枣政发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pacing w:val="-11"/>
                <w:sz w:val="24"/>
                <w:szCs w:val="24"/>
              </w:rPr>
              <w:t>46</w:t>
            </w:r>
            <w:r>
              <w:rPr>
                <w:rFonts w:hint="eastAsia" w:ascii="仿宋_GB2312" w:hAnsi="仿宋_GB2312" w:eastAsia="仿宋_GB2312" w:cs="仿宋_GB2312"/>
                <w:color w:val="000000"/>
                <w:spacing w:val="-11"/>
                <w:sz w:val="24"/>
                <w:szCs w:val="24"/>
              </w:rPr>
              <w:t>号文件进一步加强和改进消防工作的意见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2012</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121</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color w:val="000000"/>
                <w:spacing w:val="-11"/>
                <w:sz w:val="24"/>
                <w:szCs w:val="24"/>
              </w:rPr>
            </w:pPr>
            <w:r>
              <w:rPr>
                <w:rFonts w:hint="eastAsia" w:ascii="仿宋_GB2312" w:hAnsi="仿宋_GB2312" w:eastAsia="仿宋_GB2312" w:cs="仿宋_GB2312"/>
                <w:color w:val="000000"/>
                <w:kern w:val="0"/>
                <w:sz w:val="24"/>
                <w:szCs w:val="24"/>
              </w:rPr>
              <w:t>关于扶持现代农业产业发展的意见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pacing w:val="-6"/>
                <w:sz w:val="24"/>
                <w:szCs w:val="24"/>
              </w:rPr>
              <w:t>关于印发《关于解决房地产建设项目历史遗留问题的有关意见的通知》的通知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关于开展农业改革与建设试点的请示</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26</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关于规范企业房地产抵押贷款评估登记行为的意见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关于开展农业改革与建设试点的函</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72</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关于进一步规范房地产开发项目竣工综合验收备案工作的通知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关于推进新型农村社区物业管理工作的实施意见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116</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关于印发《滕州市城镇燃气管理办法》的通知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滕政字〔</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3</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关于呈报《</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年中国国际薯业博览会暨第六届中国（滕州）马铃薯节方案》的报告</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13</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关于进一步优化金融生态环境的意见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50</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pacing w:val="-6"/>
                <w:sz w:val="24"/>
                <w:szCs w:val="24"/>
              </w:rPr>
              <w:t>关于对已取得土地的先行建设项目补办建设工程规划许可手续的意见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widowControl/>
              <w:jc w:val="center"/>
              <w:textAlignment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51</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pacing w:val="-6"/>
                <w:sz w:val="24"/>
                <w:szCs w:val="24"/>
              </w:rPr>
            </w:pPr>
            <w:r>
              <w:rPr>
                <w:rFonts w:hint="eastAsia" w:ascii="仿宋_GB2312" w:hAnsi="仿宋_GB2312" w:eastAsia="仿宋_GB2312" w:cs="仿宋_GB2312"/>
                <w:color w:val="000000"/>
                <w:kern w:val="0"/>
                <w:sz w:val="24"/>
                <w:szCs w:val="24"/>
              </w:rPr>
              <w:t>关于调整现代农业生产发展资金果菜产业项目领导小组的通知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widowControl/>
              <w:jc w:val="center"/>
              <w:textAlignment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55</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pacing w:val="-6"/>
                <w:sz w:val="24"/>
                <w:szCs w:val="24"/>
              </w:rPr>
            </w:pPr>
            <w:r>
              <w:rPr>
                <w:rFonts w:hint="eastAsia" w:ascii="仿宋_GB2312" w:hAnsi="仿宋_GB2312" w:eastAsia="仿宋_GB2312" w:cs="仿宋_GB2312"/>
                <w:color w:val="000000"/>
                <w:kern w:val="0"/>
                <w:sz w:val="24"/>
                <w:szCs w:val="24"/>
              </w:rPr>
              <w:t>关于上报《滕州市涉农资金整合试点工作实施方案》的报告</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64</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关于在全市推行行政权力清单制度的通知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66</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关于加强城区道路交通车辆管理的意见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79</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关于加快电子商务发展的意见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市旅服局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pacing w:val="-4"/>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85</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关于印发《滕州市水利工程管理办法》的通知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88</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关于印发《滕州市级行政审批事项目录清单》的通知</w:t>
            </w:r>
          </w:p>
        </w:tc>
        <w:tc>
          <w:tcPr>
            <w:tcW w:w="2896" w:type="dxa"/>
            <w:vAlign w:val="center"/>
          </w:tcPr>
          <w:p>
            <w:pPr>
              <w:spacing w:line="380" w:lineRule="exact"/>
              <w:jc w:val="center"/>
              <w:rPr>
                <w:rFonts w:ascii="仿宋_GB2312" w:hAnsi="仿宋_GB2312" w:eastAsia="仿宋_GB2312" w:cs="Times New Roman"/>
                <w:color w:val="000000"/>
                <w:spacing w:val="-8"/>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滕政字〔</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145</w:t>
            </w:r>
            <w:r>
              <w:rPr>
                <w:rFonts w:hint="eastAsia" w:ascii="仿宋_GB2312" w:hAnsi="仿宋_GB2312" w:eastAsia="仿宋_GB2312" w:cs="仿宋_GB2312"/>
                <w:color w:val="000000"/>
                <w:spacing w:val="-4"/>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关于同意滕州市龙阳绿萝卜产业发展联合会申报农产品地理标志的批复</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关于全面清理规范税收等政策的通知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pacing w:val="-8"/>
                <w:sz w:val="24"/>
                <w:szCs w:val="24"/>
              </w:rPr>
            </w:pPr>
            <w:r>
              <w:rPr>
                <w:rFonts w:hint="eastAsia" w:ascii="仿宋_GB2312" w:hAnsi="仿宋_GB2312" w:eastAsia="仿宋_GB2312" w:cs="仿宋_GB2312"/>
                <w:sz w:val="24"/>
                <w:szCs w:val="24"/>
              </w:rPr>
              <w:t>关于公布滕州市级行政权力清单的通知</w:t>
            </w:r>
          </w:p>
        </w:tc>
        <w:tc>
          <w:tcPr>
            <w:tcW w:w="2896" w:type="dxa"/>
            <w:vAlign w:val="center"/>
          </w:tcPr>
          <w:p>
            <w:pPr>
              <w:spacing w:line="380" w:lineRule="exact"/>
              <w:jc w:val="center"/>
              <w:rPr>
                <w:rFonts w:ascii="仿宋_GB2312" w:hAnsi="仿宋_GB2312" w:eastAsia="仿宋_GB2312" w:cs="Times New Roman"/>
                <w:color w:val="000000"/>
                <w:spacing w:val="-8"/>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关于建立居民基本养老保险制度的实施意见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48</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关于公布市级政府部门责任清单有关事宜的通知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46</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关于做好农民专业合作社信用互助业务试点工作的实施意见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关于公布市直印发（单位）行政审批中介服务收费项目清单的通知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关于滕州马铃薯省级农业科技园区建设的意见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74</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关于加强和改进部门统计工作的意见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滕州市建设项目交通影响评价管理办法的通知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关于调整行政审批事项目录清单和行政权力清单的通知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滕州市农村无害化卫生厕所改造工作方案</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滕州市科技创新专项资金管理暂行办法</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关于加快电子商务发展的意见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b/>
                <w:bCs/>
                <w:sz w:val="24"/>
                <w:szCs w:val="24"/>
              </w:rPr>
            </w:pPr>
            <w:r>
              <w:rPr>
                <w:rFonts w:hint="eastAsia" w:ascii="仿宋_GB2312" w:hAnsi="仿宋_GB2312" w:eastAsia="仿宋_GB2312" w:cs="仿宋_GB2312"/>
                <w:color w:val="000000"/>
                <w:sz w:val="24"/>
                <w:szCs w:val="24"/>
              </w:rPr>
              <w:t>关于印发《滕州市农村生活污水治理工作实施意见》的通知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关于印发《滕州市国有土地上房屋征收与补偿实施意见》的通知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42</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关于印发《滕州市国有土地上房屋征收范围内未经登记的建筑调查认定处理实施细则》的通知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关于印发《滕州市国有土地上房屋征收与补偿工作规程》的通知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44</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关于印发《滕州市“城中村”集体土地上房屋搬迁补偿办法》的通知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关于印发《滕州市棚户区改造货币化安置实施意见》的通知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关于加快发展体育产业促进体育消费的实施意见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60</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关于印发《滕州市金融生态环境整治暨滕州农村商业银行不良贷款联合清收活动实施方案》的通知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关于印发《滕州市社区性农村信用互助合作社试点实施方案》的通知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关于印发《滕州市互联网金融风险专项整治工作实施方案》的通知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年第一批调整行政权力清单的通知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关于印发《滕州市林地保护利用规划（</w:t>
            </w:r>
            <w:r>
              <w:rPr>
                <w:rFonts w:ascii="仿宋_GB2312" w:hAnsi="仿宋_GB2312" w:eastAsia="仿宋_GB2312" w:cs="仿宋_GB2312"/>
                <w:color w:val="000000"/>
                <w:kern w:val="0"/>
                <w:sz w:val="24"/>
                <w:szCs w:val="24"/>
              </w:rPr>
              <w:t>2010-2020</w:t>
            </w:r>
            <w:r>
              <w:rPr>
                <w:rFonts w:hint="eastAsia" w:ascii="仿宋_GB2312" w:hAnsi="仿宋_GB2312" w:eastAsia="仿宋_GB2312" w:cs="仿宋_GB2312"/>
                <w:color w:val="000000"/>
                <w:kern w:val="0"/>
                <w:sz w:val="24"/>
                <w:szCs w:val="24"/>
              </w:rPr>
              <w:t>年）修编规划》的通知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关于加快推进装修住宅建设的意见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108</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关于进一步做好未经登记建筑调查认定处理工作的补充意见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117</w:t>
            </w:r>
            <w:r>
              <w:rPr>
                <w:rFonts w:hint="eastAsia" w:ascii="仿宋_GB2312" w:hAnsi="仿宋_GB2312" w:eastAsia="仿宋_GB2312" w:cs="仿宋_GB2312"/>
                <w:sz w:val="24"/>
                <w:szCs w:val="24"/>
              </w:rPr>
              <w:t>号</w:t>
            </w:r>
          </w:p>
        </w:tc>
        <w:tc>
          <w:tcPr>
            <w:tcW w:w="7273" w:type="dxa"/>
            <w:vAlign w:val="center"/>
          </w:tcPr>
          <w:p>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关于印发《滕州市安全生产举报受理及奖励办法》的通知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spacing w:val="-4"/>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年第二批调整行政权力清单的通知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关于印发《滕州市全民健身实施计划（</w:t>
            </w:r>
            <w:r>
              <w:rPr>
                <w:rFonts w:ascii="仿宋_GB2312" w:hAnsi="仿宋_GB2312" w:eastAsia="仿宋_GB2312" w:cs="仿宋_GB2312"/>
                <w:sz w:val="24"/>
                <w:szCs w:val="24"/>
              </w:rPr>
              <w:t>2016-2020</w:t>
            </w:r>
            <w:r>
              <w:rPr>
                <w:rFonts w:hint="eastAsia" w:ascii="仿宋_GB2312" w:hAnsi="仿宋_GB2312" w:eastAsia="仿宋_GB2312" w:cs="仿宋_GB2312"/>
                <w:sz w:val="24"/>
                <w:szCs w:val="24"/>
              </w:rPr>
              <w:t>年）》的通知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2016</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128</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关于上报《滕州市国家农业可持续发展试验示范区申报创建方案》的报告</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135</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关于确定国有土地上委托房屋征收实施单位及委托预评估等费用标准的批复</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关于增设国有土地上房屋征收“片区奖”的批复（试行）</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进一步加强房地产开发管理工作的意见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滕州市安全生产网格化监管工作实施方案</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关于印发《滕州市全面排查整治“地条钢”等违法违规行为专项行动工作方案》的通知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滕政字〔</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关于同意《木石镇集体土地上房屋搬迁补偿安置方案》的批复</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木石镇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关于进一步做好“城中村”集体土地上房屋搬迁补偿工作的补充意见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35</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关于上报《滕州马铃薯国家现代农业产业园创建申报书》的报告</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年第一批市直部门行政权力事项调整目录的通知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滕州市物业管理实施细则</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《滕州市特色小镇建设工作方案》、《滕州市美丽宜居村庄建设工作方案》</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关于公布滕州市市级公共服务事项目录和镇（街道）公共服务事项目录的通知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关于印发《滕州市“十三五”节能工作方案》的通知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关于金融精准支持实体经济发展的意见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75</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关于滕州市国家现代农业示范区建设水平评价有关情况的报告</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滕州市省级中等城市试点工作方案</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年第二批市直部门行政权力事项调整目录的通知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关于建立健全农村无害化卫生厕所后续管护长效机制的意见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关于印发《滕州市已购经济适用住房取得完全产权和上市交易管理规定》的通知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关于印发《滕州市公共租赁住房保障实施细则》的通知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关于印发《滕州市国有林场改革实施方案》的通知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滕政通字〔</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关于严禁非法采砂洗砂取土的通告</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龙阳镇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关于印发《城郭河群乐桥断面水质达标方案》的通知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关于印发《滕州市国控河流断面水质达标方案》的通知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关于支持农民工等人员返乡创业的实施意见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关于印发《滕州市绿色低碳发展工作方案》的通知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关于公布</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年第一批市直部门行政权力事项调整目录的通知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关于印发《滕州市人口与计划生育公益金管理办法》的通知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关于完善破产企业职工社会保险手续的意见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关于印发《滕州市公共场所禁止吸烟规定》的通知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关于印发《滕州市关于加强城镇社区和农村安全网络建设工作的意见》的通知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关于推进住宅产业化提高住宅品质的实施意见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2010</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85</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关于进一步加快我市存量公有住房出售解决房改遗留问题的通知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关于在城市规划区内禁止现场搅拌混凝土的通知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关于转发《市经济和信息化局市财政局市住房和城乡建设局关于做好农村推广散装水泥工作的意见的通知》的通知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关于印发《滕州市地下管线规划建设管理办法》的通知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滕政办发〔</w:t>
            </w:r>
            <w:r>
              <w:rPr>
                <w:rFonts w:ascii="仿宋_GB2312" w:hAnsi="仿宋_GB2312" w:eastAsia="仿宋_GB2312" w:cs="仿宋_GB2312"/>
                <w:color w:val="000000"/>
                <w:spacing w:val="-6"/>
                <w:sz w:val="24"/>
                <w:szCs w:val="24"/>
              </w:rPr>
              <w:t>2011</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141</w:t>
            </w:r>
            <w:r>
              <w:rPr>
                <w:rFonts w:hint="eastAsia" w:ascii="仿宋_GB2312" w:hAnsi="仿宋_GB2312" w:eastAsia="仿宋_GB2312" w:cs="仿宋_GB2312"/>
                <w:color w:val="000000"/>
                <w:spacing w:val="-6"/>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关于印发《滕州市城市建设档案管理办法》的通知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105</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关于进一步加强和改进劳动保障监察工作的实施意见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关于印发《滕州市新建小区配套建设体育设施的实施意见》的通知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68</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关于进一步加强镇街农产品质量安全监管工作的通知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关于建立城区住宅小区配套幼儿园长效管理机制的通知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119</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关于印发《滕州市“粮食增产模式攻关”项目玉米重大病虫灾变规律及防控措施攻关实施方案》的通知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121</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关于印发《滕州市深化农村土地使用产权制度改革工作实施方案》等相关方案的通知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157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关于印发《滕州市燃气供热安全生产事故应急预案》的通知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2</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关于印发《滕州市火灾事故应急救援预案》的通知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25</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b/>
                <w:bCs/>
                <w:sz w:val="24"/>
                <w:szCs w:val="24"/>
              </w:rPr>
            </w:pPr>
            <w:r>
              <w:rPr>
                <w:rFonts w:hint="eastAsia" w:ascii="仿宋_GB2312" w:hAnsi="仿宋_GB2312" w:eastAsia="仿宋_GB2312" w:cs="仿宋_GB2312"/>
                <w:sz w:val="24"/>
                <w:szCs w:val="24"/>
              </w:rPr>
              <w:t>关于创建创业型镇街创业型社区工作的通知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46</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关于进一步规范突发事件应急预案管理的通知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51</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关于做好黄标车区域禁行工作的通知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70</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关于规范镇域燃气市场管理工作的通知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滕政办发〔</w:t>
            </w:r>
            <w:r>
              <w:rPr>
                <w:rFonts w:ascii="仿宋_GB2312" w:hAnsi="仿宋_GB2312" w:eastAsia="仿宋_GB2312" w:cs="仿宋_GB2312"/>
                <w:color w:val="000000"/>
                <w:spacing w:val="-4"/>
                <w:sz w:val="24"/>
                <w:szCs w:val="24"/>
              </w:rPr>
              <w:t>2014</w:t>
            </w:r>
            <w:r>
              <w:rPr>
                <w:rFonts w:hint="eastAsia" w:ascii="仿宋_GB2312" w:hAnsi="仿宋_GB2312" w:eastAsia="仿宋_GB2312" w:cs="仿宋_GB2312"/>
                <w:color w:val="000000"/>
                <w:spacing w:val="-4"/>
                <w:sz w:val="24"/>
                <w:szCs w:val="24"/>
              </w:rPr>
              <w:t>〕</w:t>
            </w:r>
            <w:r>
              <w:rPr>
                <w:rFonts w:ascii="仿宋_GB2312" w:hAnsi="仿宋_GB2312" w:eastAsia="仿宋_GB2312" w:cs="仿宋_GB2312"/>
                <w:color w:val="000000"/>
                <w:spacing w:val="-4"/>
                <w:sz w:val="24"/>
                <w:szCs w:val="24"/>
              </w:rPr>
              <w:t>108</w:t>
            </w:r>
            <w:r>
              <w:rPr>
                <w:rFonts w:hint="eastAsia" w:ascii="仿宋_GB2312" w:hAnsi="仿宋_GB2312" w:eastAsia="仿宋_GB2312" w:cs="仿宋_GB2312"/>
                <w:color w:val="000000"/>
                <w:spacing w:val="-4"/>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关于加快我市建筑节能与结构一体化技术应用工作的意见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号</w:t>
            </w:r>
          </w:p>
        </w:tc>
        <w:tc>
          <w:tcPr>
            <w:tcW w:w="7273" w:type="dxa"/>
            <w:vAlign w:val="center"/>
          </w:tcPr>
          <w:p>
            <w:pPr>
              <w:spacing w:line="40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关于贯彻落实枣政办发〔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39</w:t>
            </w:r>
            <w:r>
              <w:rPr>
                <w:rFonts w:hint="eastAsia" w:ascii="仿宋_GB2312" w:hAnsi="仿宋_GB2312" w:eastAsia="仿宋_GB2312" w:cs="仿宋_GB2312"/>
                <w:sz w:val="24"/>
                <w:szCs w:val="24"/>
              </w:rPr>
              <w:t>号文件精神促进煤炭行业平稳运行的意见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1"/>
                <w:sz w:val="24"/>
                <w:szCs w:val="24"/>
              </w:rPr>
              <w:t>滕政办发〔</w:t>
            </w:r>
            <w:r>
              <w:rPr>
                <w:rFonts w:ascii="仿宋_GB2312" w:hAnsi="仿宋_GB2312" w:eastAsia="仿宋_GB2312" w:cs="仿宋_GB2312"/>
                <w:color w:val="000000"/>
                <w:spacing w:val="-1"/>
                <w:sz w:val="24"/>
                <w:szCs w:val="24"/>
              </w:rPr>
              <w:t>2015</w:t>
            </w:r>
            <w:r>
              <w:rPr>
                <w:rFonts w:hint="eastAsia" w:ascii="仿宋_GB2312" w:hAnsi="仿宋_GB2312" w:eastAsia="仿宋_GB2312" w:cs="仿宋_GB2312"/>
                <w:color w:val="000000"/>
                <w:spacing w:val="-1"/>
                <w:sz w:val="24"/>
                <w:szCs w:val="24"/>
              </w:rPr>
              <w:t>〕</w:t>
            </w:r>
            <w:r>
              <w:rPr>
                <w:rFonts w:ascii="仿宋_GB2312" w:hAnsi="仿宋_GB2312" w:eastAsia="仿宋_GB2312" w:cs="仿宋_GB2312"/>
                <w:color w:val="000000"/>
                <w:spacing w:val="-1"/>
                <w:sz w:val="24"/>
                <w:szCs w:val="24"/>
              </w:rPr>
              <w:t>17</w:t>
            </w:r>
            <w:r>
              <w:rPr>
                <w:rFonts w:hint="eastAsia" w:ascii="仿宋_GB2312" w:hAnsi="仿宋_GB2312" w:eastAsia="仿宋_GB2312" w:cs="仿宋_GB2312"/>
                <w:color w:val="000000"/>
                <w:spacing w:val="-1"/>
                <w:sz w:val="24"/>
                <w:szCs w:val="24"/>
              </w:rPr>
              <w:t>号</w:t>
            </w:r>
          </w:p>
        </w:tc>
        <w:tc>
          <w:tcPr>
            <w:tcW w:w="7273" w:type="dxa"/>
            <w:vAlign w:val="center"/>
          </w:tcPr>
          <w:p>
            <w:pPr>
              <w:spacing w:line="40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关于建立全市企业信用档案的通知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45</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关于印发《滕州市金融突发事件应急预案》的通知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关于在全市推广应用预拌砂浆和城区限期禁止现场搅拌砂浆的通知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74</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年全市政策性农业保险工作实施方案》的通知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关于清理规范市直部门（单位）行政审批中介服务的通知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110</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关于转发《枣庄市人民政府办公室关于印发枣庄市行政审批事中事后监管办法的通知》的通知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rPr>
              <w:t>号</w:t>
            </w:r>
          </w:p>
        </w:tc>
        <w:tc>
          <w:tcPr>
            <w:tcW w:w="7273" w:type="dxa"/>
          </w:tcPr>
          <w:p>
            <w:pPr>
              <w:spacing w:line="36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关于印发《滕州市林地经营权流转证试点工作实施方案》的通知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rPr>
              <w:t>号</w:t>
            </w:r>
          </w:p>
        </w:tc>
        <w:tc>
          <w:tcPr>
            <w:tcW w:w="7273" w:type="dxa"/>
          </w:tcPr>
          <w:p>
            <w:pPr>
              <w:spacing w:line="36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关于加强安全环保节能管理加快全市化工产业转型的意见</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37</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关于明确部分化工危险化学品和医药加工企业安全监管责任的通知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关于印发《滕州市饮用水源地环境污染事故应急处置预案》的通知</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关于进一步加强乡村医生队伍建设的实施意见</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关于建立年度全市</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人口抽样调查制度的通知</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83</w:t>
            </w:r>
            <w:r>
              <w:rPr>
                <w:rFonts w:hint="eastAsia" w:ascii="仿宋_GB2312" w:hAnsi="仿宋_GB2312" w:eastAsia="仿宋_GB2312" w:cs="仿宋_GB2312"/>
                <w:color w:val="000000"/>
                <w:sz w:val="24"/>
                <w:szCs w:val="24"/>
              </w:rPr>
              <w:t>号</w:t>
            </w:r>
          </w:p>
        </w:tc>
        <w:tc>
          <w:tcPr>
            <w:tcW w:w="7273"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关于印发《滕州市生产安全事故报告、案审和公示暂行规定》的通知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关于城区住宅小区规划红线内供热设施移交供热企业管理使用的通知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96</w:t>
            </w:r>
            <w:r>
              <w:rPr>
                <w:rFonts w:hint="eastAsia" w:ascii="仿宋_GB2312" w:hAnsi="仿宋_GB2312" w:eastAsia="仿宋_GB2312" w:cs="仿宋_GB2312"/>
                <w:sz w:val="24"/>
                <w:szCs w:val="24"/>
              </w:rPr>
              <w:t>号</w:t>
            </w:r>
          </w:p>
        </w:tc>
        <w:tc>
          <w:tcPr>
            <w:tcW w:w="7273" w:type="dxa"/>
          </w:tcPr>
          <w:p>
            <w:pPr>
              <w:spacing w:line="44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关于印发《滕州市流动儿童免疫规划管理办法》的通知</w:t>
            </w:r>
          </w:p>
        </w:tc>
        <w:tc>
          <w:tcPr>
            <w:tcW w:w="2896"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000000"/>
                <w:sz w:val="24"/>
                <w:szCs w:val="24"/>
              </w:rPr>
              <w:t>关于进一步加强职业病防治工作的通知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333333"/>
                <w:sz w:val="24"/>
                <w:szCs w:val="24"/>
                <w:shd w:val="clear" w:color="auto" w:fill="FFFFFF"/>
              </w:rPr>
              <w:t>关于进一步做好农村土地承包管理工作的通知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108</w:t>
            </w:r>
            <w:r>
              <w:rPr>
                <w:rFonts w:hint="eastAsia" w:ascii="仿宋_GB2312" w:hAnsi="仿宋_GB2312" w:eastAsia="仿宋_GB2312" w:cs="仿宋_GB2312"/>
                <w:sz w:val="24"/>
                <w:szCs w:val="24"/>
              </w:rPr>
              <w:t>号</w:t>
            </w:r>
          </w:p>
        </w:tc>
        <w:tc>
          <w:tcPr>
            <w:tcW w:w="7273" w:type="dxa"/>
          </w:tcPr>
          <w:p>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关于印发《滕州市集中供热管理实施办法》的通知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110</w:t>
            </w:r>
            <w:r>
              <w:rPr>
                <w:rFonts w:hint="eastAsia" w:ascii="仿宋_GB2312" w:hAnsi="仿宋_GB2312" w:eastAsia="仿宋_GB2312" w:cs="仿宋_GB2312"/>
                <w:sz w:val="24"/>
                <w:szCs w:val="24"/>
              </w:rPr>
              <w:t>号</w:t>
            </w:r>
          </w:p>
        </w:tc>
        <w:tc>
          <w:tcPr>
            <w:tcW w:w="7273" w:type="dxa"/>
          </w:tcPr>
          <w:p>
            <w:pPr>
              <w:spacing w:line="44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关于印发《滕州市重污染天气应急预案》的通知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t>关于加快推进全市煤炭清洁高效利用工作的实施意见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122</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关于印发《滕州市大气污染防治技术导则》的通知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137</w:t>
            </w:r>
            <w:r>
              <w:rPr>
                <w:rFonts w:hint="eastAsia" w:ascii="仿宋_GB2312" w:hAnsi="仿宋_GB2312" w:eastAsia="仿宋_GB2312" w:cs="仿宋_GB2312"/>
                <w:sz w:val="24"/>
                <w:szCs w:val="24"/>
              </w:rPr>
              <w:t>号</w:t>
            </w:r>
          </w:p>
        </w:tc>
        <w:tc>
          <w:tcPr>
            <w:tcW w:w="7273" w:type="dxa"/>
          </w:tcPr>
          <w:p>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关于进一步规范社会抚养费征收管理有关问题的通知</w:t>
            </w:r>
          </w:p>
        </w:tc>
        <w:tc>
          <w:tcPr>
            <w:tcW w:w="2896"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138</w:t>
            </w:r>
            <w:r>
              <w:rPr>
                <w:rFonts w:hint="eastAsia" w:ascii="仿宋_GB2312" w:hAnsi="仿宋_GB2312" w:eastAsia="仿宋_GB2312" w:cs="仿宋_GB2312"/>
                <w:sz w:val="24"/>
                <w:szCs w:val="24"/>
              </w:rPr>
              <w:t>号</w:t>
            </w:r>
          </w:p>
        </w:tc>
        <w:tc>
          <w:tcPr>
            <w:tcW w:w="7273" w:type="dxa"/>
          </w:tcPr>
          <w:p>
            <w:pPr>
              <w:spacing w:line="440" w:lineRule="exact"/>
              <w:jc w:val="left"/>
              <w:rPr>
                <w:rFonts w:ascii="仿宋_GB2312" w:hAnsi="仿宋_GB2312" w:eastAsia="仿宋_GB2312" w:cs="Times New Roman"/>
                <w:color w:val="333333"/>
                <w:sz w:val="24"/>
                <w:szCs w:val="24"/>
                <w:shd w:val="clear" w:color="auto" w:fill="FFFFFF"/>
              </w:rPr>
            </w:pPr>
            <w:r>
              <w:rPr>
                <w:rFonts w:hint="eastAsia" w:ascii="仿宋_GB2312" w:hAnsi="仿宋_GB2312" w:eastAsia="仿宋_GB2312" w:cs="仿宋_GB2312"/>
                <w:sz w:val="24"/>
                <w:szCs w:val="24"/>
              </w:rPr>
              <w:t>关于推进分级诊疗制度建设的实施意见</w:t>
            </w:r>
          </w:p>
        </w:tc>
        <w:tc>
          <w:tcPr>
            <w:tcW w:w="2896" w:type="dxa"/>
          </w:tcPr>
          <w:p>
            <w:pPr>
              <w:spacing w:line="44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18 </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关于印发《全市农村饮用水水源保护区划分方案》的通知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26 </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关于印发《滕州市环境保护工作网格化监管实施方案》的通知</w:t>
            </w:r>
          </w:p>
        </w:tc>
        <w:tc>
          <w:tcPr>
            <w:tcW w:w="2896" w:type="dxa"/>
            <w:vAlign w:val="center"/>
          </w:tcPr>
          <w:p>
            <w:pPr>
              <w:spacing w:line="380" w:lineRule="exact"/>
              <w:jc w:val="center"/>
              <w:rPr>
                <w:rFonts w:ascii="仿宋_GB2312" w:hAnsi="仿宋_GB2312" w:eastAsia="仿宋_GB2312" w:cs="Times New Roman"/>
                <w:color w:val="000000"/>
                <w:spacing w:val="-4"/>
                <w:sz w:val="24"/>
                <w:szCs w:val="24"/>
              </w:rPr>
            </w:pPr>
            <w:r>
              <w:rPr>
                <w:rFonts w:hint="eastAsia" w:ascii="仿宋_GB2312" w:hAnsi="仿宋_GB2312" w:eastAsia="仿宋_GB2312" w:cs="仿宋_GB2312"/>
                <w:color w:val="000000"/>
                <w:spacing w:val="-4"/>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36</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关于印发《滕州市环境违法行为有奖举报暂行规定》的通知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38</w:t>
            </w:r>
            <w:r>
              <w:rPr>
                <w:rFonts w:hint="eastAsia" w:ascii="仿宋_GB2312" w:hAnsi="仿宋_GB2312" w:eastAsia="仿宋_GB2312" w:cs="仿宋_GB2312"/>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关于印发《滕州市突发环境污染事件应急预案》的通知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44</w:t>
            </w:r>
            <w:r>
              <w:rPr>
                <w:rFonts w:hint="eastAsia" w:ascii="仿宋_GB2312" w:hAnsi="仿宋_GB2312" w:eastAsia="仿宋_GB2312" w:cs="仿宋_GB2312"/>
                <w:color w:val="000000"/>
                <w:sz w:val="24"/>
                <w:szCs w:val="24"/>
              </w:rPr>
              <w:t>号</w:t>
            </w:r>
          </w:p>
        </w:tc>
        <w:tc>
          <w:tcPr>
            <w:tcW w:w="7273" w:type="dxa"/>
            <w:vAlign w:val="center"/>
          </w:tcPr>
          <w:p>
            <w:pPr>
              <w:jc w:val="left"/>
              <w:rPr>
                <w:rFonts w:ascii="仿宋_GB2312" w:hAnsi="仿宋_GB2312" w:eastAsia="仿宋_GB2312" w:cs="Times New Roman"/>
                <w:sz w:val="24"/>
                <w:szCs w:val="24"/>
              </w:rPr>
            </w:pPr>
            <w:r>
              <w:rPr>
                <w:rFonts w:hint="eastAsia" w:ascii="仿宋_GB2312" w:hAnsi="仿宋_GB2312" w:eastAsia="仿宋_GB2312" w:cs="仿宋_GB2312"/>
                <w:color w:val="000000"/>
                <w:spacing w:val="-1"/>
                <w:sz w:val="24"/>
                <w:szCs w:val="24"/>
              </w:rPr>
              <w:t>滕州市重点项目推进管理办法</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50</w:t>
            </w:r>
            <w:r>
              <w:rPr>
                <w:rFonts w:hint="eastAsia" w:ascii="仿宋_GB2312" w:hAnsi="仿宋_GB2312" w:eastAsia="仿宋_GB2312" w:cs="仿宋_GB2312"/>
                <w:color w:val="000000"/>
                <w:sz w:val="24"/>
                <w:szCs w:val="24"/>
              </w:rPr>
              <w:t>号</w:t>
            </w:r>
          </w:p>
        </w:tc>
        <w:tc>
          <w:tcPr>
            <w:tcW w:w="7273" w:type="dxa"/>
            <w:vAlign w:val="center"/>
          </w:tcPr>
          <w:p>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关于印发《滕州市畜禽养殖布局规划方案》的通知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63</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关于印发《关于推进微型消防站建设的指导意见》的通知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75</w:t>
            </w:r>
            <w:r>
              <w:rPr>
                <w:rFonts w:hint="eastAsia" w:ascii="仿宋_GB2312" w:hAnsi="仿宋_GB2312" w:eastAsia="仿宋_GB2312" w:cs="仿宋_GB2312"/>
                <w:color w:val="000000"/>
                <w:kern w:val="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关于对违法排污企业采取停电（限电）措施及时制止环境危害的通知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79</w:t>
            </w:r>
            <w:r>
              <w:rPr>
                <w:rFonts w:hint="eastAsia" w:ascii="仿宋_GB2312" w:hAnsi="仿宋_GB2312" w:eastAsia="仿宋_GB2312" w:cs="仿宋_GB2312"/>
                <w:color w:val="000000"/>
                <w:kern w:val="0"/>
                <w:sz w:val="24"/>
                <w:szCs w:val="24"/>
              </w:rPr>
              <w:t>号</w:t>
            </w:r>
          </w:p>
        </w:tc>
        <w:tc>
          <w:tcPr>
            <w:tcW w:w="7273"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关于印发《滕州市农业大灾保险试点工作方案》的通知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81</w:t>
            </w:r>
            <w:r>
              <w:rPr>
                <w:rFonts w:hint="eastAsia" w:ascii="仿宋_GB2312" w:hAnsi="仿宋_GB2312" w:eastAsia="仿宋_GB2312" w:cs="仿宋_GB2312"/>
                <w:color w:val="000000"/>
                <w:sz w:val="24"/>
                <w:szCs w:val="24"/>
              </w:rPr>
              <w:t>号</w:t>
            </w:r>
          </w:p>
        </w:tc>
        <w:tc>
          <w:tcPr>
            <w:tcW w:w="7273" w:type="dxa"/>
            <w:vAlign w:val="center"/>
          </w:tcPr>
          <w:p>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关于印发《滕州市畜禽养殖粪污处理利用实施方案》的通知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82</w:t>
            </w:r>
            <w:r>
              <w:rPr>
                <w:rFonts w:hint="eastAsia" w:ascii="仿宋_GB2312" w:hAnsi="仿宋_GB2312" w:eastAsia="仿宋_GB2312" w:cs="仿宋_GB2312"/>
                <w:color w:val="000000"/>
                <w:sz w:val="24"/>
                <w:szCs w:val="24"/>
              </w:rPr>
              <w:t>号</w:t>
            </w:r>
          </w:p>
        </w:tc>
        <w:tc>
          <w:tcPr>
            <w:tcW w:w="7273" w:type="dxa"/>
            <w:vAlign w:val="center"/>
          </w:tcPr>
          <w:p>
            <w:pPr>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年畜禽养殖污染专项整治方案》的通知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关于印发《滕州市医疗卫生服务体系规划（</w:t>
            </w:r>
            <w:r>
              <w:rPr>
                <w:rFonts w:ascii="仿宋_GB2312" w:hAnsi="仿宋_GB2312" w:eastAsia="仿宋_GB2312" w:cs="仿宋_GB2312"/>
                <w:sz w:val="24"/>
                <w:szCs w:val="24"/>
              </w:rPr>
              <w:t>2016—2020</w:t>
            </w:r>
            <w:r>
              <w:rPr>
                <w:rFonts w:hint="eastAsia" w:ascii="仿宋_GB2312" w:hAnsi="仿宋_GB2312" w:eastAsia="仿宋_GB2312" w:cs="仿宋_GB2312"/>
                <w:sz w:val="24"/>
                <w:szCs w:val="24"/>
              </w:rPr>
              <w:t>）》的通知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关于印发《滕州市土壤污染防治工作方案》的通知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关于印发《滕州市“散乱污”企业及集群环境综合整治实施方案》的通知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关于印发《滕州市石油天然气储运突发事件应急预案》的通知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关于印发《滕州市非煤矿山生产安全事故应急预案》的通知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关于印发《滕州市烟花爆竹生产安全事故应急预案》的通知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148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关于印发《滕州市危险化学品生产安全事故应急预案》的通知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172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关于印发《关于加快全市煤炭经营产业清洁有序发展的实施意见》的通知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号</w:t>
            </w:r>
          </w:p>
        </w:tc>
        <w:tc>
          <w:tcPr>
            <w:tcW w:w="7273" w:type="dxa"/>
            <w:vAlign w:val="center"/>
          </w:tcPr>
          <w:p>
            <w:pPr>
              <w:spacing w:line="30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关于加快新旧动能转换推进“两全两高”农业机械化发展的意见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关于印发《滕州市医疗纠纷预防与处置办法》的通知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关于完善房地产开发项目选用电梯的通知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关于印发《滕州市城市节水用水管理办法》的通知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41</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关于印发《滕州市防震减灾第十三个五年规划》的通知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42</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关于印发《滕州市地震应急预案》的通知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关于印发《滕州市利用综合标准依法依规推动落后产能退出工作方案》的通知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关于印发《滕州市加快推进畜禽养殖废弃物资源化利用实施方案》的通知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关于印发《滕州市超标河流整治工作实施方案》的通知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55</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关于印发《滕州市高致病性禽流感应急预案》的通知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56</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关于印发《滕州市突发动物疫情应急预案》的通知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关于印发《滕州市第二次全国污染源普查实施方案》的通知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60</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关于印发《滕州市突发事件医疗卫生救援应急预案》的通知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64</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关于建立十三五期间保护发展森林资源目标责任制的通知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67</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关于兑现</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年度全市工业企业奖励的决定</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w:t>
            </w:r>
            <w:r>
              <w:rPr>
                <w:rFonts w:ascii="仿宋_GB2312" w:hAnsi="仿宋_GB2312" w:eastAsia="仿宋_GB2312" w:cs="仿宋_GB2312"/>
                <w:color w:val="000000"/>
                <w:kern w:val="0"/>
                <w:sz w:val="24"/>
                <w:szCs w:val="24"/>
              </w:rPr>
              <w:t>2018</w:t>
            </w:r>
            <w:r>
              <w:rPr>
                <w:rFonts w:hint="eastAsia" w:ascii="仿宋_GB2312" w:hAnsi="仿宋_GB2312" w:eastAsia="仿宋_GB2312" w:cs="仿宋_GB2312"/>
                <w:color w:val="000000"/>
                <w:kern w:val="0"/>
                <w:sz w:val="24"/>
                <w:szCs w:val="24"/>
              </w:rPr>
              <w:t>年雨季造林实施方案》的通知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numPr>
                <w:ilvl w:val="0"/>
                <w:numId w:val="1"/>
              </w:numPr>
              <w:spacing w:line="380" w:lineRule="exact"/>
              <w:jc w:val="center"/>
              <w:rPr>
                <w:rFonts w:ascii="仿宋_GB2312" w:hAnsi="仿宋_GB2312" w:eastAsia="仿宋_GB2312" w:cs="Times New Roman"/>
                <w:color w:val="000000"/>
                <w:sz w:val="24"/>
                <w:szCs w:val="24"/>
              </w:rPr>
            </w:pPr>
          </w:p>
        </w:tc>
        <w:tc>
          <w:tcPr>
            <w:tcW w:w="2792"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79</w:t>
            </w:r>
            <w:r>
              <w:rPr>
                <w:rFonts w:hint="eastAsia" w:ascii="仿宋_GB2312" w:hAnsi="仿宋_GB2312" w:eastAsia="仿宋_GB2312" w:cs="仿宋_GB2312"/>
                <w:color w:val="000000"/>
                <w:sz w:val="24"/>
                <w:szCs w:val="24"/>
              </w:rPr>
              <w:t>号</w:t>
            </w:r>
          </w:p>
        </w:tc>
        <w:tc>
          <w:tcPr>
            <w:tcW w:w="7273" w:type="dxa"/>
            <w:vAlign w:val="center"/>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关于进一步加强“四上”企业培育入库工作的通知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市统计局</w:t>
            </w:r>
          </w:p>
        </w:tc>
      </w:tr>
    </w:tbl>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r>
        <w:rPr>
          <w:rFonts w:hint="eastAsia" w:ascii="黑体" w:hAnsi="黑体" w:eastAsia="黑体" w:cs="黑体"/>
          <w:color w:val="000000"/>
          <w:sz w:val="32"/>
          <w:szCs w:val="32"/>
        </w:rPr>
        <w:t>二、需要修改的规范性文件目录</w:t>
      </w:r>
    </w:p>
    <w:tbl>
      <w:tblPr>
        <w:tblStyle w:val="6"/>
        <w:tblpPr w:leftFromText="180" w:rightFromText="180" w:vertAnchor="text" w:horzAnchor="page" w:tblpX="1627" w:tblpY="461"/>
        <w:tblOverlap w:val="never"/>
        <w:tblW w:w="13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90"/>
        <w:gridCol w:w="7275"/>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0"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5"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37</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关于印发《市国有资产经营性收入收缴管理意见》的通知</w:t>
            </w:r>
            <w:r>
              <w:rPr>
                <w:rFonts w:ascii="仿宋_GB2312" w:hAnsi="仿宋_GB2312" w:eastAsia="仿宋_GB2312" w:cs="仿宋_GB2312"/>
                <w:sz w:val="24"/>
                <w:szCs w:val="24"/>
              </w:rPr>
              <w:t xml:space="preserve">    </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54</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关于加强国有资产监督管理的意见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3</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2009</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133</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关于印发《微山湖湿地红荷旅游风景区管理暂行办法》的通知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微山湖湿地管委会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4</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关于印发《滕州市城市规划管理技术规定（试行）》的通知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5</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62</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关于印发《关于加快推进采煤塌陷地综合治理的实施意见》的通知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6</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6"/>
                <w:sz w:val="24"/>
                <w:szCs w:val="24"/>
              </w:rPr>
              <w:t>滕政办发〔</w:t>
            </w:r>
            <w:r>
              <w:rPr>
                <w:rFonts w:ascii="仿宋_GB2312" w:hAnsi="仿宋_GB2312" w:eastAsia="仿宋_GB2312" w:cs="仿宋_GB2312"/>
                <w:color w:val="000000"/>
                <w:spacing w:val="-6"/>
                <w:sz w:val="24"/>
                <w:szCs w:val="24"/>
              </w:rPr>
              <w:t>2011</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129</w:t>
            </w:r>
            <w:r>
              <w:rPr>
                <w:rFonts w:hint="eastAsia" w:ascii="仿宋_GB2312" w:hAnsi="仿宋_GB2312" w:eastAsia="仿宋_GB2312" w:cs="仿宋_GB2312"/>
                <w:color w:val="000000"/>
                <w:spacing w:val="-6"/>
                <w:sz w:val="24"/>
                <w:szCs w:val="24"/>
              </w:rPr>
              <w:t>号</w:t>
            </w:r>
          </w:p>
        </w:tc>
        <w:tc>
          <w:tcPr>
            <w:tcW w:w="7275" w:type="dxa"/>
            <w:vAlign w:val="center"/>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关于印发《</w:t>
            </w:r>
            <w:r>
              <w:rPr>
                <w:rFonts w:ascii="仿宋_GB2312" w:hAnsi="仿宋_GB2312" w:eastAsia="仿宋_GB2312" w:cs="仿宋_GB2312"/>
                <w:color w:val="000000"/>
                <w:sz w:val="24"/>
                <w:szCs w:val="24"/>
              </w:rPr>
              <w:t>&lt;</w:t>
            </w:r>
            <w:r>
              <w:rPr>
                <w:rFonts w:hint="eastAsia" w:ascii="仿宋_GB2312" w:hAnsi="仿宋_GB2312" w:eastAsia="仿宋_GB2312" w:cs="仿宋_GB2312"/>
                <w:color w:val="000000"/>
                <w:sz w:val="24"/>
                <w:szCs w:val="24"/>
              </w:rPr>
              <w:t>固定资产投资项目节能评估和审查暂行办法</w:t>
            </w:r>
            <w:r>
              <w:rPr>
                <w:rFonts w:ascii="仿宋_GB2312" w:hAnsi="仿宋_GB2312" w:eastAsia="仿宋_GB2312" w:cs="仿宋_GB2312"/>
                <w:color w:val="000000"/>
                <w:sz w:val="24"/>
                <w:szCs w:val="24"/>
              </w:rPr>
              <w:t>&gt;</w:t>
            </w:r>
            <w:r>
              <w:rPr>
                <w:rFonts w:hint="eastAsia" w:ascii="仿宋_GB2312" w:hAnsi="仿宋_GB2312" w:eastAsia="仿宋_GB2312" w:cs="仿宋_GB2312"/>
                <w:color w:val="000000"/>
                <w:sz w:val="24"/>
                <w:szCs w:val="24"/>
              </w:rPr>
              <w:t>实施细则（试行）》的通知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7</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82</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关于印发《滕州市森林火灾事故应急救援预案》的通知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1" w:type="dxa"/>
            <w:vAlign w:val="center"/>
          </w:tcPr>
          <w:p>
            <w:pPr>
              <w:spacing w:line="38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8</w:t>
            </w: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68</w:t>
            </w:r>
            <w:r>
              <w:rPr>
                <w:rFonts w:hint="eastAsia" w:ascii="仿宋_GB2312" w:hAnsi="仿宋_GB2312" w:eastAsia="仿宋_GB2312" w:cs="仿宋_GB2312"/>
                <w:sz w:val="24"/>
                <w:szCs w:val="24"/>
              </w:rPr>
              <w:t>号</w:t>
            </w:r>
          </w:p>
        </w:tc>
        <w:tc>
          <w:tcPr>
            <w:tcW w:w="7275" w:type="dxa"/>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关于印发《滕州市林地经营权流转证发证管理办法（试行）》的通知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bl>
    <w:p>
      <w:pPr>
        <w:widowControl/>
        <w:spacing w:line="560" w:lineRule="exact"/>
        <w:ind w:firstLine="240" w:firstLineChars="100"/>
        <w:jc w:val="left"/>
        <w:rPr>
          <w:rFonts w:ascii="仿宋_GB2312" w:hAnsi="仿宋_GB2312" w:eastAsia="仿宋_GB2312" w:cs="Times New Roman"/>
          <w:color w:val="000000"/>
          <w:sz w:val="24"/>
          <w:szCs w:val="24"/>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p>
    <w:p>
      <w:pPr>
        <w:widowControl/>
        <w:spacing w:line="560" w:lineRule="exact"/>
        <w:ind w:firstLine="320" w:firstLineChars="100"/>
        <w:jc w:val="left"/>
        <w:rPr>
          <w:rFonts w:ascii="黑体" w:hAnsi="黑体" w:eastAsia="黑体" w:cs="Times New Roman"/>
          <w:color w:val="000000"/>
          <w:sz w:val="32"/>
          <w:szCs w:val="32"/>
        </w:rPr>
      </w:pPr>
      <w:r>
        <w:rPr>
          <w:rFonts w:hint="eastAsia" w:ascii="黑体" w:hAnsi="黑体" w:eastAsia="黑体" w:cs="黑体"/>
          <w:color w:val="000000"/>
          <w:sz w:val="32"/>
          <w:szCs w:val="32"/>
        </w:rPr>
        <w:t>三、宣布废止和失效的规范性文件目录</w:t>
      </w:r>
    </w:p>
    <w:tbl>
      <w:tblPr>
        <w:tblStyle w:val="6"/>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790"/>
        <w:gridCol w:w="7275"/>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序号</w:t>
            </w:r>
          </w:p>
        </w:tc>
        <w:tc>
          <w:tcPr>
            <w:tcW w:w="2790"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号</w:t>
            </w:r>
          </w:p>
        </w:tc>
        <w:tc>
          <w:tcPr>
            <w:tcW w:w="7275"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文</w:t>
            </w:r>
            <w:r>
              <w:rPr>
                <w:rFonts w:ascii="黑体" w:hAnsi="黑体" w:eastAsia="黑体" w:cs="黑体"/>
                <w:color w:val="000000"/>
                <w:sz w:val="24"/>
                <w:szCs w:val="24"/>
              </w:rPr>
              <w:t xml:space="preserve"> </w:t>
            </w:r>
            <w:r>
              <w:rPr>
                <w:rFonts w:hint="eastAsia" w:ascii="黑体" w:hAnsi="黑体" w:eastAsia="黑体" w:cs="黑体"/>
                <w:color w:val="000000"/>
                <w:sz w:val="24"/>
                <w:szCs w:val="24"/>
              </w:rPr>
              <w:t>件</w:t>
            </w:r>
            <w:r>
              <w:rPr>
                <w:rFonts w:ascii="黑体" w:hAnsi="黑体" w:eastAsia="黑体" w:cs="黑体"/>
                <w:color w:val="000000"/>
                <w:sz w:val="24"/>
                <w:szCs w:val="24"/>
              </w:rPr>
              <w:t xml:space="preserve"> </w:t>
            </w:r>
            <w:r>
              <w:rPr>
                <w:rFonts w:hint="eastAsia" w:ascii="黑体" w:hAnsi="黑体" w:eastAsia="黑体" w:cs="黑体"/>
                <w:color w:val="000000"/>
                <w:sz w:val="24"/>
                <w:szCs w:val="24"/>
              </w:rPr>
              <w:t>名</w:t>
            </w:r>
            <w:r>
              <w:rPr>
                <w:rFonts w:ascii="黑体" w:hAnsi="黑体" w:eastAsia="黑体" w:cs="黑体"/>
                <w:color w:val="000000"/>
                <w:sz w:val="24"/>
                <w:szCs w:val="24"/>
              </w:rPr>
              <w:t xml:space="preserve"> </w:t>
            </w:r>
            <w:r>
              <w:rPr>
                <w:rFonts w:hint="eastAsia" w:ascii="黑体" w:hAnsi="黑体" w:eastAsia="黑体" w:cs="黑体"/>
                <w:color w:val="000000"/>
                <w:sz w:val="24"/>
                <w:szCs w:val="24"/>
              </w:rPr>
              <w:t>称</w:t>
            </w:r>
          </w:p>
        </w:tc>
        <w:tc>
          <w:tcPr>
            <w:tcW w:w="2896"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关于滕州市林果产业化工作意见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56</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关于进一步加强社会保险费征缴工作的意见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2006</w:t>
            </w:r>
            <w:r>
              <w:rPr>
                <w:rFonts w:hint="eastAsia" w:ascii="仿宋_GB2312" w:hAnsi="仿宋_GB2312" w:eastAsia="仿宋_GB2312" w:cs="仿宋_GB2312"/>
                <w:color w:val="000000"/>
                <w:sz w:val="24"/>
                <w:szCs w:val="24"/>
              </w:rPr>
              <w:t>年滕州市人民政府令第</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滕州市科学技术奖励办法</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98</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关于加快建筑业改革和发展的意见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z w:val="24"/>
                <w:szCs w:val="24"/>
              </w:rPr>
            </w:pPr>
            <w:r>
              <w:rPr>
                <w:rFonts w:hint="eastAsia" w:ascii="仿宋_GB2312" w:hAnsi="仿宋_GB2312" w:eastAsia="仿宋_GB2312" w:cs="仿宋_GB2312"/>
                <w:color w:val="000000"/>
                <w:spacing w:val="-4"/>
                <w:sz w:val="24"/>
                <w:szCs w:val="24"/>
              </w:rPr>
              <w:t>关于印发《滕州市生产安全事故隐患排查治理办法》的通知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2008</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117</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spacing w:val="-4"/>
                <w:sz w:val="24"/>
                <w:szCs w:val="24"/>
              </w:rPr>
            </w:pPr>
            <w:r>
              <w:rPr>
                <w:rFonts w:hint="eastAsia" w:ascii="仿宋_GB2312" w:hAnsi="仿宋_GB2312" w:eastAsia="仿宋_GB2312" w:cs="仿宋_GB2312"/>
                <w:sz w:val="24"/>
                <w:szCs w:val="24"/>
              </w:rPr>
              <w:t>关于印发《滕州市工程建设各方主体安全行为规范暂行规定》的通知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2010</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29</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关于做好退耕还林（湿）工作的意见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2011</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97</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关于印发《花卉苗木产业发展考核奖励办法》的通知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关于加快推进建筑产业现代化发展的指导意见（试行）</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97</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关于印发《关于开展民间融资规范引导试点工作的实施方案》的通知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52</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年“三夏”工作的意见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87</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年“三秋”工作的意见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关于申报</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年新型职业农民培训试点县的函</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36</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关于印发《滕州市粮食高产创建示范方建设实施方案（</w:t>
            </w:r>
            <w:r>
              <w:rPr>
                <w:rFonts w:ascii="仿宋_GB2312" w:hAnsi="仿宋_GB2312" w:eastAsia="仿宋_GB2312" w:cs="仿宋_GB2312"/>
                <w:color w:val="000000"/>
                <w:kern w:val="0"/>
                <w:sz w:val="24"/>
                <w:szCs w:val="24"/>
              </w:rPr>
              <w:t>2014-2017</w:t>
            </w:r>
            <w:r>
              <w:rPr>
                <w:rFonts w:hint="eastAsia" w:ascii="仿宋_GB2312" w:hAnsi="仿宋_GB2312" w:eastAsia="仿宋_GB2312" w:cs="仿宋_GB2312"/>
                <w:color w:val="000000"/>
                <w:kern w:val="0"/>
                <w:sz w:val="24"/>
                <w:szCs w:val="24"/>
              </w:rPr>
              <w:t>）》的通知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46</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年“三夏”工作的意见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69</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年“三秋”工作的意见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81</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年滕州市新型职业农民培育实施方案》的通知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spacing w:line="380" w:lineRule="exact"/>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88</w:t>
            </w:r>
            <w:r>
              <w:rPr>
                <w:rFonts w:hint="eastAsia" w:ascii="仿宋_GB2312" w:hAnsi="仿宋_GB2312" w:eastAsia="仿宋_GB2312" w:cs="仿宋_GB2312"/>
                <w:color w:val="000000"/>
                <w:kern w:val="0"/>
                <w:sz w:val="24"/>
                <w:szCs w:val="24"/>
              </w:rPr>
              <w:t>号</w:t>
            </w:r>
          </w:p>
        </w:tc>
        <w:tc>
          <w:tcPr>
            <w:tcW w:w="7275" w:type="dxa"/>
            <w:vAlign w:val="center"/>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关于印发《滕州市级行政审批事项目录清单》的通知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10</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关于申请粮食高产创建示范方考核验收的报告</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35</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年“三夏”工作的意见</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2015</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43</w:t>
            </w:r>
            <w:r>
              <w:rPr>
                <w:rFonts w:hint="eastAsia" w:ascii="仿宋_GB2312" w:hAnsi="仿宋_GB2312" w:eastAsia="仿宋_GB2312" w:cs="仿宋_GB2312"/>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关于进一步做好建成区燃煤锅炉取缔工作的通知</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61</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年“三秋”工作的意见</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26</w:t>
            </w:r>
            <w:r>
              <w:rPr>
                <w:rFonts w:hint="eastAsia" w:ascii="仿宋_GB2312" w:hAnsi="仿宋_GB2312" w:eastAsia="仿宋_GB2312" w:cs="仿宋_GB2312"/>
                <w:sz w:val="24"/>
                <w:szCs w:val="24"/>
              </w:rPr>
              <w:t>号</w:t>
            </w:r>
          </w:p>
        </w:tc>
        <w:tc>
          <w:tcPr>
            <w:tcW w:w="7275" w:type="dxa"/>
            <w:vAlign w:val="center"/>
          </w:tcPr>
          <w:p>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年大气污染防治工作方案》的通知</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号</w:t>
            </w:r>
          </w:p>
        </w:tc>
        <w:tc>
          <w:tcPr>
            <w:tcW w:w="7275" w:type="dxa"/>
            <w:vAlign w:val="center"/>
          </w:tcPr>
          <w:p>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年水污染防治工作方案》的通知</w:t>
            </w:r>
          </w:p>
        </w:tc>
        <w:tc>
          <w:tcPr>
            <w:tcW w:w="2896" w:type="dxa"/>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56</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年“三夏”工作的意见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滕政字〔</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74</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关于申请实施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年山东省农作物秸秆综合利用试点项目的报告</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滕政发〔</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85</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关于做好</w:t>
            </w:r>
            <w:r>
              <w:rPr>
                <w:rFonts w:ascii="仿宋_GB2312" w:hAnsi="仿宋_GB2312" w:eastAsia="仿宋_GB2312" w:cs="仿宋_GB2312"/>
                <w:color w:val="000000"/>
                <w:kern w:val="0"/>
                <w:sz w:val="24"/>
                <w:szCs w:val="24"/>
              </w:rPr>
              <w:t>2017</w:t>
            </w:r>
            <w:r>
              <w:rPr>
                <w:rFonts w:hint="eastAsia" w:ascii="仿宋_GB2312" w:hAnsi="仿宋_GB2312" w:eastAsia="仿宋_GB2312" w:cs="仿宋_GB2312"/>
                <w:color w:val="000000"/>
                <w:kern w:val="0"/>
                <w:sz w:val="24"/>
                <w:szCs w:val="24"/>
              </w:rPr>
              <w:t>年“三秋”工作的意见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96</w:t>
            </w:r>
            <w:r>
              <w:rPr>
                <w:rFonts w:hint="eastAsia" w:ascii="仿宋_GB2312" w:hAnsi="仿宋_GB2312" w:eastAsia="仿宋_GB2312" w:cs="仿宋_GB2312"/>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年秋冬季大气污染综合治理攻坚行动方案》的通知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2009</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86</w:t>
            </w:r>
            <w:r>
              <w:rPr>
                <w:rFonts w:hint="eastAsia" w:ascii="仿宋_GB2312" w:hAnsi="仿宋_GB2312" w:eastAsia="仿宋_GB2312" w:cs="仿宋_GB2312"/>
                <w:color w:val="000000"/>
                <w:kern w:val="0"/>
                <w:sz w:val="24"/>
                <w:szCs w:val="24"/>
              </w:rPr>
              <w:t>号</w:t>
            </w:r>
          </w:p>
        </w:tc>
        <w:tc>
          <w:tcPr>
            <w:tcW w:w="7275"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关于印发《滕州市“枣庄优惠二日游”奖励办法》的通知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市旅服局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2010</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47</w:t>
            </w:r>
            <w:r>
              <w:rPr>
                <w:rFonts w:hint="eastAsia" w:ascii="仿宋_GB2312" w:hAnsi="仿宋_GB2312" w:eastAsia="仿宋_GB2312" w:cs="仿宋_GB2312"/>
                <w:color w:val="000000"/>
                <w:kern w:val="0"/>
                <w:sz w:val="24"/>
                <w:szCs w:val="24"/>
              </w:rPr>
              <w:t>号</w:t>
            </w:r>
          </w:p>
        </w:tc>
        <w:tc>
          <w:tcPr>
            <w:tcW w:w="7275" w:type="dxa"/>
          </w:tcPr>
          <w:p>
            <w:pPr>
              <w:spacing w:line="380" w:lineRule="exact"/>
              <w:jc w:val="lef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关于进一步支持服务业发展的实施意见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市旅服局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关于做好全市消除麻疹工作的通知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2012</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rPr>
              <w:t>号</w:t>
            </w:r>
          </w:p>
        </w:tc>
        <w:tc>
          <w:tcPr>
            <w:tcW w:w="7275" w:type="dxa"/>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关于加强村卫生室和乡村医生队伍建设的实施意见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90</w:t>
            </w:r>
            <w:r>
              <w:rPr>
                <w:rFonts w:hint="eastAsia" w:ascii="仿宋_GB2312" w:hAnsi="仿宋_GB2312" w:eastAsia="仿宋_GB2312" w:cs="仿宋_GB2312"/>
                <w:color w:val="00000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关于印发《滕州市突发环境污染事件应急预案》的通知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kern w:val="0"/>
                <w:sz w:val="24"/>
                <w:szCs w:val="24"/>
              </w:rPr>
              <w:t>95</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2013</w:t>
            </w:r>
            <w:r>
              <w:rPr>
                <w:rFonts w:hint="eastAsia" w:ascii="仿宋_GB2312" w:hAnsi="仿宋_GB2312" w:eastAsia="仿宋_GB2312" w:cs="仿宋_GB2312"/>
                <w:color w:val="000000"/>
                <w:kern w:val="0"/>
                <w:sz w:val="24"/>
                <w:szCs w:val="24"/>
              </w:rPr>
              <w:t>年滕州市玉米“一防双减”补助项目实施方案》的通知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2013</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105</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关于印发《滕州市金融工作联席会议制度》的通知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163</w:t>
            </w:r>
            <w:r>
              <w:rPr>
                <w:rFonts w:hint="eastAsia" w:ascii="仿宋_GB2312" w:hAnsi="仿宋_GB2312" w:eastAsia="仿宋_GB2312" w:cs="仿宋_GB2312"/>
                <w:sz w:val="24"/>
                <w:szCs w:val="24"/>
              </w:rPr>
              <w:t>号</w:t>
            </w:r>
          </w:p>
        </w:tc>
        <w:tc>
          <w:tcPr>
            <w:tcW w:w="7275" w:type="dxa"/>
            <w:vAlign w:val="center"/>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关于印发《滕州市重污染天气应急预案》的通知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47</w:t>
            </w:r>
            <w:r>
              <w:rPr>
                <w:rFonts w:hint="eastAsia" w:ascii="仿宋_GB2312" w:hAnsi="仿宋_GB2312" w:eastAsia="仿宋_GB2312" w:cs="仿宋_GB2312"/>
                <w:sz w:val="24"/>
                <w:szCs w:val="24"/>
              </w:rPr>
              <w:t>号</w:t>
            </w:r>
          </w:p>
        </w:tc>
        <w:tc>
          <w:tcPr>
            <w:tcW w:w="7275" w:type="dxa"/>
            <w:vAlign w:val="center"/>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关于印发《滕州市石油天然气储运突发事件应急预案》的通知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49</w:t>
            </w:r>
            <w:r>
              <w:rPr>
                <w:rFonts w:hint="eastAsia" w:ascii="仿宋_GB2312" w:hAnsi="仿宋_GB2312" w:eastAsia="仿宋_GB2312" w:cs="仿宋_GB2312"/>
                <w:sz w:val="24"/>
                <w:szCs w:val="24"/>
              </w:rPr>
              <w:t>号</w:t>
            </w:r>
          </w:p>
        </w:tc>
        <w:tc>
          <w:tcPr>
            <w:tcW w:w="7275" w:type="dxa"/>
            <w:vAlign w:val="center"/>
          </w:tcPr>
          <w:p>
            <w:pPr>
              <w:spacing w:line="38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关于印发《滕州市突发辐射事故应急预案》的通知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52</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关于印发《滕州市民间融资登记服务公司管理暂行办法》的通知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2014</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53</w:t>
            </w:r>
            <w:r>
              <w:rPr>
                <w:rFonts w:hint="eastAsia" w:ascii="仿宋_GB2312" w:hAnsi="仿宋_GB2312" w:eastAsia="仿宋_GB2312" w:cs="仿宋_GB2312"/>
                <w:color w:val="000000"/>
                <w:sz w:val="24"/>
                <w:szCs w:val="24"/>
              </w:rPr>
              <w:t>号</w:t>
            </w:r>
          </w:p>
        </w:tc>
        <w:tc>
          <w:tcPr>
            <w:tcW w:w="7275" w:type="dxa"/>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关于印发《滕州市民间资本管理公司管理暂行办法》的通知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72</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关于印发《</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年滕州市中央测土配方施肥补贴项目实施方案》的通知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pacing w:val="-4"/>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2015</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rPr>
              <w:t>号</w:t>
            </w:r>
          </w:p>
        </w:tc>
        <w:tc>
          <w:tcPr>
            <w:tcW w:w="7275" w:type="dxa"/>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关于调整城镇职工医疗保险个人账户金划拨办法的通知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pacing w:val="-4"/>
                <w:sz w:val="24"/>
                <w:szCs w:val="24"/>
              </w:rPr>
            </w:pPr>
          </w:p>
        </w:tc>
        <w:tc>
          <w:tcPr>
            <w:tcW w:w="2790" w:type="dxa"/>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滕政办发〔</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68</w:t>
            </w:r>
            <w:r>
              <w:rPr>
                <w:rFonts w:hint="eastAsia" w:ascii="仿宋_GB2312" w:hAnsi="仿宋_GB2312" w:eastAsia="仿宋_GB2312" w:cs="仿宋_GB2312"/>
                <w:color w:val="000000"/>
                <w:kern w:val="0"/>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w:t>
            </w:r>
            <w:r>
              <w:rPr>
                <w:rFonts w:ascii="仿宋_GB2312" w:hAnsi="仿宋_GB2312" w:eastAsia="仿宋_GB2312" w:cs="仿宋_GB2312"/>
                <w:color w:val="000000"/>
                <w:kern w:val="0"/>
                <w:sz w:val="24"/>
                <w:szCs w:val="24"/>
              </w:rPr>
              <w:t>2015</w:t>
            </w:r>
            <w:r>
              <w:rPr>
                <w:rFonts w:hint="eastAsia" w:ascii="仿宋_GB2312" w:hAnsi="仿宋_GB2312" w:eastAsia="仿宋_GB2312" w:cs="仿宋_GB2312"/>
                <w:color w:val="000000"/>
                <w:kern w:val="0"/>
                <w:sz w:val="24"/>
                <w:szCs w:val="24"/>
              </w:rPr>
              <w:t>年测土配方施肥补贴项目实施方案》的通知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滕政办发</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2016</w:t>
            </w: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32</w:t>
            </w:r>
            <w:r>
              <w:rPr>
                <w:rFonts w:hint="eastAsia" w:ascii="仿宋_GB2312" w:hAnsi="仿宋_GB2312" w:eastAsia="仿宋_GB2312" w:cs="仿宋_GB2312"/>
                <w:sz w:val="24"/>
                <w:szCs w:val="24"/>
              </w:rPr>
              <w:t>号</w:t>
            </w:r>
          </w:p>
        </w:tc>
        <w:tc>
          <w:tcPr>
            <w:tcW w:w="7275" w:type="dxa"/>
          </w:tcPr>
          <w:p>
            <w:pPr>
              <w:spacing w:line="380" w:lineRule="exact"/>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关于印发《滕州市中小企业公共服务平台运营管理绩效考评暂行办法》的通知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2016</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59</w:t>
            </w:r>
            <w:r>
              <w:rPr>
                <w:rFonts w:hint="eastAsia" w:ascii="仿宋_GB2312" w:hAnsi="仿宋_GB2312" w:eastAsia="仿宋_GB2312" w:cs="仿宋_GB2312"/>
                <w:sz w:val="24"/>
                <w:szCs w:val="24"/>
              </w:rPr>
              <w:t>号</w:t>
            </w:r>
          </w:p>
        </w:tc>
        <w:tc>
          <w:tcPr>
            <w:tcW w:w="7275" w:type="dxa"/>
            <w:vAlign w:val="center"/>
          </w:tcPr>
          <w:p>
            <w:pPr>
              <w:widowControl/>
              <w:jc w:val="left"/>
              <w:textAlignment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关于转发《枣庄市人民政府办公室关于开展全市燃煤锅炉综合整治的通知》的通知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34</w:t>
            </w:r>
            <w:r>
              <w:rPr>
                <w:rFonts w:hint="eastAsia" w:ascii="仿宋_GB2312" w:hAnsi="仿宋_GB2312" w:eastAsia="仿宋_GB2312" w:cs="仿宋_GB2312"/>
                <w:color w:val="000000"/>
                <w:sz w:val="24"/>
                <w:szCs w:val="24"/>
              </w:rPr>
              <w:t>号</w:t>
            </w:r>
          </w:p>
        </w:tc>
        <w:tc>
          <w:tcPr>
            <w:tcW w:w="7275"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sz w:val="24"/>
                <w:szCs w:val="24"/>
              </w:rPr>
              <w:t>关于印发《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年滕州市工业经济工作要点》的通知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58</w:t>
            </w:r>
            <w:r>
              <w:rPr>
                <w:rFonts w:hint="eastAsia" w:ascii="仿宋_GB2312" w:hAnsi="仿宋_GB2312" w:eastAsia="仿宋_GB2312" w:cs="仿宋_GB2312"/>
                <w:color w:val="000000"/>
                <w:sz w:val="24"/>
                <w:szCs w:val="24"/>
              </w:rPr>
              <w:t>号</w:t>
            </w:r>
          </w:p>
        </w:tc>
        <w:tc>
          <w:tcPr>
            <w:tcW w:w="7275" w:type="dxa"/>
            <w:vAlign w:val="center"/>
          </w:tcPr>
          <w:p>
            <w:pPr>
              <w:spacing w:line="380" w:lineRule="exact"/>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关于开展住宅小区物业管理提升年活动的实施意见</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78</w:t>
            </w:r>
            <w:r>
              <w:rPr>
                <w:rFonts w:hint="eastAsia" w:ascii="仿宋_GB2312" w:hAnsi="仿宋_GB2312" w:eastAsia="仿宋_GB2312" w:cs="仿宋_GB2312"/>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关于印发《滕州市加强大气污染防治工作实施方案》的通知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滕政办发〔</w:t>
            </w:r>
            <w:r>
              <w:rPr>
                <w:rFonts w:ascii="仿宋_GB2312" w:hAnsi="仿宋_GB2312" w:eastAsia="仿宋_GB2312" w:cs="仿宋_GB2312"/>
                <w:sz w:val="24"/>
                <w:szCs w:val="24"/>
              </w:rPr>
              <w:t>2017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93</w:t>
            </w:r>
            <w:r>
              <w:rPr>
                <w:rFonts w:hint="eastAsia" w:ascii="仿宋_GB2312" w:hAnsi="仿宋_GB2312" w:eastAsia="仿宋_GB2312" w:cs="仿宋_GB2312"/>
                <w:sz w:val="24"/>
                <w:szCs w:val="24"/>
              </w:rPr>
              <w:t>号</w:t>
            </w:r>
          </w:p>
        </w:tc>
        <w:tc>
          <w:tcPr>
            <w:tcW w:w="7275" w:type="dxa"/>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sz w:val="24"/>
                <w:szCs w:val="24"/>
              </w:rPr>
              <w:t>关于印发《关于开展燃煤小锅炉专项整治工作的实施方案》的通知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9" w:type="dxa"/>
            <w:vAlign w:val="center"/>
          </w:tcPr>
          <w:p>
            <w:pPr>
              <w:numPr>
                <w:ilvl w:val="0"/>
                <w:numId w:val="2"/>
              </w:numPr>
              <w:spacing w:line="380" w:lineRule="exact"/>
              <w:rPr>
                <w:rFonts w:ascii="仿宋_GB2312" w:hAnsi="仿宋_GB2312" w:eastAsia="仿宋_GB2312" w:cs="Times New Roman"/>
                <w:color w:val="000000"/>
                <w:sz w:val="24"/>
                <w:szCs w:val="24"/>
              </w:rPr>
            </w:pPr>
          </w:p>
        </w:tc>
        <w:tc>
          <w:tcPr>
            <w:tcW w:w="2790" w:type="dxa"/>
            <w:vAlign w:val="center"/>
          </w:tcPr>
          <w:p>
            <w:pPr>
              <w:spacing w:line="38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滕政办发〔</w:t>
            </w:r>
            <w:r>
              <w:rPr>
                <w:rFonts w:ascii="仿宋_GB2312" w:hAnsi="仿宋_GB2312" w:eastAsia="仿宋_GB2312" w:cs="仿宋_GB2312"/>
                <w:color w:val="000000"/>
                <w:sz w:val="24"/>
                <w:szCs w:val="24"/>
              </w:rPr>
              <w:t>2017</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125</w:t>
            </w:r>
            <w:r>
              <w:rPr>
                <w:rFonts w:hint="eastAsia" w:ascii="仿宋_GB2312" w:hAnsi="仿宋_GB2312" w:eastAsia="仿宋_GB2312" w:cs="仿宋_GB2312"/>
                <w:color w:val="000000"/>
                <w:sz w:val="24"/>
                <w:szCs w:val="24"/>
              </w:rPr>
              <w:t>号</w:t>
            </w:r>
          </w:p>
        </w:tc>
        <w:tc>
          <w:tcPr>
            <w:tcW w:w="7275" w:type="dxa"/>
            <w:vAlign w:val="center"/>
          </w:tcPr>
          <w:p>
            <w:pPr>
              <w:spacing w:line="380" w:lineRule="exact"/>
              <w:jc w:val="left"/>
              <w:rPr>
                <w:rFonts w:ascii="仿宋_GB2312" w:hAnsi="仿宋_GB2312" w:eastAsia="仿宋_GB2312" w:cs="Times New Roman"/>
                <w:sz w:val="24"/>
                <w:szCs w:val="24"/>
              </w:rPr>
            </w:pPr>
            <w:r>
              <w:rPr>
                <w:rFonts w:hint="eastAsia" w:ascii="仿宋_GB2312" w:hAnsi="仿宋_GB2312" w:eastAsia="仿宋_GB2312" w:cs="仿宋_GB2312"/>
                <w:color w:val="000000"/>
                <w:kern w:val="0"/>
                <w:sz w:val="24"/>
                <w:szCs w:val="24"/>
              </w:rPr>
              <w:t>关于印发《滕州市森林保险工作实施方案》的通知</w:t>
            </w:r>
          </w:p>
        </w:tc>
        <w:tc>
          <w:tcPr>
            <w:tcW w:w="2896" w:type="dxa"/>
            <w:vAlign w:val="center"/>
          </w:tcPr>
          <w:p>
            <w:pPr>
              <w:spacing w:line="38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市林业局</w:t>
            </w:r>
          </w:p>
        </w:tc>
      </w:tr>
    </w:tbl>
    <w:p>
      <w:pPr>
        <w:rPr>
          <w:rFonts w:ascii="仿宋_GB2312" w:hAnsi="仿宋_GB2312" w:eastAsia="仿宋_GB2312" w:cs="Times New Roman"/>
          <w:sz w:val="24"/>
          <w:szCs w:val="24"/>
        </w:rPr>
      </w:pPr>
    </w:p>
    <w:p>
      <w:pPr>
        <w:rPr>
          <w:rFonts w:cs="Times New Roman"/>
        </w:rPr>
      </w:pPr>
    </w:p>
    <w:p>
      <w:pPr>
        <w:rPr>
          <w:rFonts w:cs="Times New Roman"/>
        </w:rPr>
      </w:pPr>
    </w:p>
    <w:p>
      <w:pPr>
        <w:rPr>
          <w:rFonts w:cs="Times New Roman"/>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340" w:lineRule="exac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（此页无正文）</w:t>
      </w: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340" w:lineRule="exact"/>
        <w:ind w:firstLine="640"/>
        <w:rPr>
          <w:rFonts w:ascii="仿宋_GB2312" w:hAnsi="Times New Roman" w:eastAsia="仿宋_GB2312" w:cs="Times New Roman"/>
          <w:color w:val="000000"/>
          <w:sz w:val="32"/>
          <w:szCs w:val="32"/>
        </w:rPr>
      </w:pPr>
    </w:p>
    <w:p>
      <w:pPr>
        <w:widowControl/>
        <w:spacing w:line="200" w:lineRule="exact"/>
        <w:rPr>
          <w:rFonts w:ascii="黑体" w:hAnsi="Times New Roman" w:eastAsia="黑体" w:cs="Times New Roman"/>
          <w:color w:val="000000"/>
          <w:sz w:val="28"/>
          <w:szCs w:val="28"/>
        </w:rPr>
      </w:pPr>
    </w:p>
    <w:p>
      <w:pPr>
        <w:widowControl/>
        <w:spacing w:line="200" w:lineRule="exact"/>
        <w:rPr>
          <w:rFonts w:ascii="黑体" w:hAnsi="Times New Roman" w:eastAsia="黑体" w:cs="Times New Roman"/>
          <w:color w:val="000000"/>
          <w:sz w:val="28"/>
          <w:szCs w:val="28"/>
        </w:rPr>
      </w:pPr>
    </w:p>
    <w:p>
      <w:pPr>
        <w:widowControl/>
        <w:spacing w:line="200" w:lineRule="exact"/>
        <w:rPr>
          <w:rFonts w:ascii="黑体" w:hAnsi="Times New Roman" w:eastAsia="黑体" w:cs="Times New Roman"/>
          <w:color w:val="000000"/>
          <w:sz w:val="28"/>
          <w:szCs w:val="28"/>
        </w:rPr>
      </w:pPr>
    </w:p>
    <w:p>
      <w:pPr>
        <w:widowControl/>
        <w:spacing w:line="200" w:lineRule="exact"/>
        <w:rPr>
          <w:rFonts w:ascii="黑体" w:hAnsi="Times New Roman" w:eastAsia="黑体" w:cs="Times New Roman"/>
          <w:color w:val="000000"/>
          <w:sz w:val="28"/>
          <w:szCs w:val="28"/>
        </w:rPr>
      </w:pPr>
    </w:p>
    <w:p>
      <w:pPr>
        <w:widowControl/>
        <w:spacing w:line="200" w:lineRule="exact"/>
        <w:rPr>
          <w:rFonts w:ascii="黑体" w:hAnsi="Times New Roman" w:eastAsia="黑体" w:cs="Times New Roman"/>
          <w:color w:val="000000"/>
          <w:sz w:val="28"/>
          <w:szCs w:val="28"/>
        </w:rPr>
      </w:pP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40640</wp:posOffset>
                </wp:positionV>
                <wp:extent cx="5400040" cy="25400"/>
                <wp:effectExtent l="0" t="9525" r="10160" b="10795"/>
                <wp:wrapNone/>
                <wp:docPr id="1" name="直线 5"/>
                <wp:cNvGraphicFramePr/>
                <a:graphic xmlns:a="http://schemas.openxmlformats.org/drawingml/2006/main">
                  <a:graphicData uri="http://schemas.microsoft.com/office/word/2010/wordprocessingShape">
                    <wps:wsp>
                      <wps:cNvCnPr/>
                      <wps:spPr>
                        <a:xfrm>
                          <a:off x="0" y="0"/>
                          <a:ext cx="5400040"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3.2pt;height:2pt;width:425.2pt;z-index:251656192;mso-width-relative:page;mso-height-relative:page;" filled="f" stroked="t" coordsize="21600,21600" o:gfxdata="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56cOc0gAAAAUBAAAP&#10;AAAAAAAAAAEAIAAAADgAAABkcnMvZG93bnJldi54bWxQSwECFAAUAAAACACHTuJAcIMHw88BAACV&#10;AwAADgAAAAAAAAABACAAAAA3AQAAZHJzL2Uyb0RvYy54bWxQSwUGAAAAAAYABgBZAQAAeAUAAAAA&#10;">
                <v:fill on="f" focussize="0,0"/>
                <v:stroke weight="1.5pt" color="#000000" joinstyle="round"/>
                <v:imagedata o:title=""/>
                <o:lock v:ext="edit" aspectratio="f"/>
              </v:line>
            </w:pict>
          </mc:Fallback>
        </mc:AlternateContent>
      </w:r>
    </w:p>
    <w:p>
      <w:pPr>
        <w:widowControl/>
        <w:spacing w:line="340" w:lineRule="exact"/>
        <w:ind w:left="31680" w:hanging="1124" w:hangingChars="400"/>
        <w:rPr>
          <w:rFonts w:ascii="仿宋_GB2312" w:hAnsi="Times New Roman" w:eastAsia="仿宋_GB2312" w:cs="Times New Roman"/>
          <w:color w:val="000000"/>
          <w:sz w:val="28"/>
          <w:szCs w:val="28"/>
        </w:rPr>
      </w:pPr>
      <w:r>
        <w:rPr>
          <w:rFonts w:hint="eastAsia" w:ascii="仿宋_GB2312" w:hAnsi="Times New Roman" w:eastAsia="仿宋_GB2312" w:cs="仿宋_GB2312"/>
          <w:b/>
          <w:bCs/>
          <w:color w:val="000000"/>
          <w:sz w:val="28"/>
          <w:szCs w:val="28"/>
        </w:rPr>
        <w:t>抄</w:t>
      </w:r>
      <w:r>
        <w:rPr>
          <w:rFonts w:ascii="仿宋_GB2312" w:hAnsi="Times New Roman" w:eastAsia="仿宋_GB2312" w:cs="仿宋_GB2312"/>
          <w:b/>
          <w:bCs/>
          <w:color w:val="000000"/>
          <w:sz w:val="28"/>
          <w:szCs w:val="28"/>
        </w:rPr>
        <w:t xml:space="preserve">  </w:t>
      </w:r>
      <w:r>
        <w:rPr>
          <w:rFonts w:hint="eastAsia" w:ascii="仿宋_GB2312" w:hAnsi="Times New Roman" w:eastAsia="仿宋_GB2312" w:cs="仿宋_GB2312"/>
          <w:b/>
          <w:bCs/>
          <w:color w:val="000000"/>
          <w:sz w:val="28"/>
          <w:szCs w:val="28"/>
        </w:rPr>
        <w:t>送：</w:t>
      </w:r>
      <w:r>
        <w:rPr>
          <w:rFonts w:hint="eastAsia" w:ascii="仿宋_GB2312" w:hAnsi="Times New Roman" w:eastAsia="仿宋_GB2312" w:cs="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hAnsi="Times New Roman" w:eastAsia="仿宋_GB2312" w:cs="Times New Roman"/>
          <w:color w:val="000000"/>
          <w:sz w:val="28"/>
          <w:szCs w:val="28"/>
        </w:rPr>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76200</wp:posOffset>
                </wp:positionV>
                <wp:extent cx="5400040" cy="0"/>
                <wp:effectExtent l="0" t="0" r="0" b="0"/>
                <wp:wrapNone/>
                <wp:docPr id="2" name="直线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6pt;height:0pt;width:425.2pt;z-index:251657216;mso-width-relative:page;mso-height-relative:page;" filled="f" stroked="t" coordsize="21600,21600" o:gfxdata="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IcEHUAAAABgEA&#10;AA8AAAAAAAAAAQAgAAAAOAAAAGRycy9kb3ducmV2LnhtbFBLAQIUABQAAAAIAIdO4kD4Qpd1zwEA&#10;AJADAAAOAAAAAAAAAAEAIAAAADkBAABkcnMvZTJvRG9jLnhtbFBLBQYAAAAABgAGAFkBAAB6BQAA&#10;AAA=&#10;">
                <v:fill on="f" focussize="0,0"/>
                <v:stroke color="#000000" joinstyle="round"/>
                <v:imagedata o:title=""/>
                <o:lock v:ext="edit" aspectratio="f"/>
              </v:line>
            </w:pict>
          </mc:Fallback>
        </mc:AlternateContent>
      </w:r>
    </w:p>
    <w:p>
      <w:pPr>
        <w:widowControl/>
        <w:spacing w:line="340" w:lineRule="exact"/>
        <w:rPr>
          <w:rFonts w:ascii="仿宋_GB2312" w:hAnsi="仿宋_GB2312" w:eastAsia="仿宋_GB2312"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4" name="直线 7"/>
                <wp:cNvGraphicFramePr/>
                <a:graphic xmlns:a="http://schemas.openxmlformats.org/drawingml/2006/main">
                  <a:graphicData uri="http://schemas.microsoft.com/office/word/2010/wordprocessingShape">
                    <wps:wsp>
                      <wps:cNvCnPr/>
                      <wps:spPr>
                        <a:xfrm>
                          <a:off x="0" y="0"/>
                          <a:ext cx="5400040"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19.8pt;height:0.6pt;width:425.2pt;z-index:251658240;mso-width-relative:page;mso-height-relative:page;" filled="f" stroked="t" coordsize="21600,21600" o:gfxdata="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0CAKNUA&#10;AAAGAQAADwAAAAAAAAABACAAAAA4AAAAZHJzL2Rvd25yZXYueG1sUEsBAhQAFAAAAAgAh07iQIhr&#10;PjzTAQAAlAMAAA4AAAAAAAAAAQAgAAAAOgEAAGRycy9lMm9Eb2MueG1sUEsFBgAAAAAGAAYAWQEA&#10;AH8FAAAAAA==&#10;">
                <v:fill on="f" focussize="0,0"/>
                <v:stroke weight="1.5pt" color="#000000" joinstyle="round"/>
                <v:imagedata o:title=""/>
                <o:lock v:ext="edit" aspectratio="f"/>
              </v:line>
            </w:pict>
          </mc:Fallback>
        </mc:AlternateContent>
      </w:r>
      <w:r>
        <w:rPr>
          <w:rFonts w:hint="eastAsia" w:ascii="仿宋_GB2312" w:hAnsi="Times New Roman" w:eastAsia="仿宋_GB2312" w:cs="仿宋_GB2312"/>
          <w:color w:val="000000"/>
          <w:sz w:val="28"/>
          <w:szCs w:val="28"/>
        </w:rPr>
        <w:t>滕州市人民政府办公室</w:t>
      </w:r>
      <w:r>
        <w:rPr>
          <w:rFonts w:ascii="仿宋_GB2312" w:hAnsi="Times New Roman" w:eastAsia="仿宋_GB2312" w:cs="仿宋_GB2312"/>
          <w:color w:val="000000"/>
          <w:sz w:val="28"/>
          <w:szCs w:val="28"/>
        </w:rPr>
        <w:t xml:space="preserve">                   2018</w:t>
      </w:r>
      <w:r>
        <w:rPr>
          <w:rFonts w:hint="eastAsia" w:ascii="仿宋_GB2312" w:hAnsi="Times New Roman" w:eastAsia="仿宋_GB2312" w:cs="仿宋_GB2312"/>
          <w:color w:val="000000"/>
          <w:sz w:val="28"/>
          <w:szCs w:val="28"/>
        </w:rPr>
        <w:t>年</w:t>
      </w:r>
      <w:r>
        <w:rPr>
          <w:rFonts w:ascii="仿宋_GB2312" w:hAnsi="Times New Roman" w:eastAsia="仿宋_GB2312" w:cs="仿宋_GB2312"/>
          <w:color w:val="000000"/>
          <w:sz w:val="28"/>
          <w:szCs w:val="28"/>
        </w:rPr>
        <w:t>11</w:t>
      </w:r>
      <w:r>
        <w:rPr>
          <w:rFonts w:hint="eastAsia" w:ascii="仿宋_GB2312" w:hAnsi="Times New Roman" w:eastAsia="仿宋_GB2312" w:cs="仿宋_GB2312"/>
          <w:color w:val="000000"/>
          <w:sz w:val="28"/>
          <w:szCs w:val="28"/>
        </w:rPr>
        <w:t>月</w:t>
      </w:r>
      <w:r>
        <w:rPr>
          <w:rFonts w:ascii="仿宋_GB2312" w:hAnsi="Times New Roman" w:eastAsia="仿宋_GB2312" w:cs="仿宋_GB2312"/>
          <w:color w:val="000000"/>
          <w:sz w:val="28"/>
          <w:szCs w:val="28"/>
        </w:rPr>
        <w:t>30</w:t>
      </w:r>
      <w:r>
        <w:rPr>
          <w:rFonts w:hint="eastAsia" w:ascii="仿宋_GB2312" w:hAnsi="Times New Roman" w:eastAsia="仿宋_GB2312" w:cs="仿宋_GB2312"/>
          <w:color w:val="000000"/>
          <w:sz w:val="28"/>
          <w:szCs w:val="28"/>
        </w:rPr>
        <w:t>日印发</w:t>
      </w:r>
    </w:p>
    <w:sectPr>
      <w:pgSz w:w="11906" w:h="16838"/>
      <w:pgMar w:top="1701" w:right="1701" w:bottom="170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0lY7tAAAAAFAQAADwAAAAAAAAABACAAAAA4AAAAZHJzL2Rv&#10;d25yZXYueG1sUEsBAhQAFAAAAAgAh07iQA9xlcy6AQAAWgMAAA4AAAAAAAAAAQAgAAAANQEAAGRy&#10;cy9lMm9Eb2MueG1sUEsFBgAAAAAGAAYAWQEAAGEFAAAAAA==&#10;">
              <v:fill on="f" focussize="0,0"/>
              <v:stroke on="f" weight="0.5pt"/>
              <v:imagedata o:title=""/>
              <o:lock v:ext="edit" aspectratio="f"/>
              <v:textbox inset="0mm,0mm,0mm,0mm" style="mso-fit-shape-to-text:t;">
                <w:txbxContent>
                  <w:p>
                    <w:pPr>
                      <w:pStyle w:val="3"/>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3391B"/>
    <w:multiLevelType w:val="singleLevel"/>
    <w:tmpl w:val="AE93391B"/>
    <w:lvl w:ilvl="0" w:tentative="0">
      <w:start w:val="1"/>
      <w:numFmt w:val="decimal"/>
      <w:lvlText w:val="%1"/>
      <w:lvlJc w:val="left"/>
      <w:pPr>
        <w:tabs>
          <w:tab w:val="left" w:pos="420"/>
        </w:tabs>
        <w:ind w:left="425" w:hanging="425"/>
      </w:pPr>
      <w:rPr>
        <w:rFonts w:hint="default"/>
      </w:rPr>
    </w:lvl>
  </w:abstractNum>
  <w:abstractNum w:abstractNumId="1">
    <w:nsid w:val="E3A99967"/>
    <w:multiLevelType w:val="singleLevel"/>
    <w:tmpl w:val="E3A99967"/>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72583"/>
    <w:rsid w:val="001D4EBE"/>
    <w:rsid w:val="001E6027"/>
    <w:rsid w:val="00395A0D"/>
    <w:rsid w:val="005F4E3C"/>
    <w:rsid w:val="007F6D51"/>
    <w:rsid w:val="008401E3"/>
    <w:rsid w:val="0099109C"/>
    <w:rsid w:val="009B6599"/>
    <w:rsid w:val="009D266D"/>
    <w:rsid w:val="00E47E31"/>
    <w:rsid w:val="00E74FD3"/>
    <w:rsid w:val="00EE1272"/>
    <w:rsid w:val="00F01B05"/>
    <w:rsid w:val="020C0C1C"/>
    <w:rsid w:val="05DE5AD3"/>
    <w:rsid w:val="06FE2D3F"/>
    <w:rsid w:val="0B840BD5"/>
    <w:rsid w:val="0CE54673"/>
    <w:rsid w:val="16F720E3"/>
    <w:rsid w:val="1B4C442A"/>
    <w:rsid w:val="23F8159D"/>
    <w:rsid w:val="27B54B2B"/>
    <w:rsid w:val="28697054"/>
    <w:rsid w:val="294E5D53"/>
    <w:rsid w:val="2CCA3943"/>
    <w:rsid w:val="2E6D1467"/>
    <w:rsid w:val="30205D46"/>
    <w:rsid w:val="329B7674"/>
    <w:rsid w:val="33857917"/>
    <w:rsid w:val="36D7165A"/>
    <w:rsid w:val="37384E53"/>
    <w:rsid w:val="39176118"/>
    <w:rsid w:val="3C252033"/>
    <w:rsid w:val="43473C28"/>
    <w:rsid w:val="43654749"/>
    <w:rsid w:val="439B4335"/>
    <w:rsid w:val="458B1AC6"/>
    <w:rsid w:val="487A30EC"/>
    <w:rsid w:val="489561B0"/>
    <w:rsid w:val="4A4C6E1C"/>
    <w:rsid w:val="4B261A01"/>
    <w:rsid w:val="4C483B84"/>
    <w:rsid w:val="4CBC7365"/>
    <w:rsid w:val="512979A7"/>
    <w:rsid w:val="51E2451D"/>
    <w:rsid w:val="522C06AA"/>
    <w:rsid w:val="561327DF"/>
    <w:rsid w:val="56CC1AA4"/>
    <w:rsid w:val="597520FE"/>
    <w:rsid w:val="5B841414"/>
    <w:rsid w:val="5C0A758A"/>
    <w:rsid w:val="5E786B4A"/>
    <w:rsid w:val="60397B2B"/>
    <w:rsid w:val="621D1394"/>
    <w:rsid w:val="641D669B"/>
    <w:rsid w:val="65E30DED"/>
    <w:rsid w:val="66DA3056"/>
    <w:rsid w:val="67991233"/>
    <w:rsid w:val="69AE4541"/>
    <w:rsid w:val="6CB06A06"/>
    <w:rsid w:val="6DBE43D8"/>
    <w:rsid w:val="6FFF42E0"/>
    <w:rsid w:val="70091D56"/>
    <w:rsid w:val="73711364"/>
    <w:rsid w:val="74174E2C"/>
    <w:rsid w:val="753A180E"/>
    <w:rsid w:val="76072583"/>
    <w:rsid w:val="77202D28"/>
    <w:rsid w:val="7B025FA7"/>
    <w:rsid w:val="7B695A5D"/>
    <w:rsid w:val="7CC41B26"/>
    <w:rsid w:val="7E6F00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3" w:lineRule="auto"/>
      <w:outlineLvl w:val="1"/>
    </w:pPr>
    <w:rPr>
      <w:rFonts w:ascii="Arial" w:hAnsi="Arial" w:eastAsia="黑体" w:cs="Arial"/>
      <w:b/>
      <w:bCs/>
      <w:sz w:val="32"/>
      <w:szCs w:val="32"/>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2 Char"/>
    <w:basedOn w:val="8"/>
    <w:link w:val="2"/>
    <w:semiHidden/>
    <w:qFormat/>
    <w:locked/>
    <w:uiPriority w:val="99"/>
    <w:rPr>
      <w:rFonts w:ascii="Cambria" w:hAnsi="Cambria" w:eastAsia="宋体" w:cs="Cambria"/>
      <w:b/>
      <w:bCs/>
      <w:sz w:val="32"/>
      <w:szCs w:val="32"/>
    </w:rPr>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18</Pages>
  <Words>9832</Words>
  <Characters>11013</Characters>
  <Lines>0</Lines>
  <Paragraphs>0</Paragraphs>
  <TotalTime>531</TotalTime>
  <ScaleCrop>false</ScaleCrop>
  <LinksUpToDate>false</LinksUpToDate>
  <CharactersWithSpaces>11125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2018-10-18T09:18:00Z</dcterms:created>
  <dc:creator>Administrator</dc:creator>
  <cp:lastModifiedBy>user</cp:lastModifiedBy>
  <cp:lastPrinted>2018-12-06T11:23:00Z</cp:lastPrinted>
  <dcterms:modified xsi:type="dcterms:W3CDTF">2025-03-06T14:18:33Z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